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D0241" w14:textId="5DC16AA6" w:rsidR="00F1003C" w:rsidRPr="00AA2EFF" w:rsidRDefault="00F1003C">
      <w:pPr>
        <w:rPr>
          <w:b/>
          <w:bCs/>
        </w:rPr>
      </w:pPr>
      <w:r w:rsidRPr="00AA2EFF">
        <w:rPr>
          <w:b/>
          <w:bCs/>
        </w:rPr>
        <w:t>Análisis de iniciativas de vinculación con el medio desde los objetivos de desarrollo sostenible</w:t>
      </w:r>
    </w:p>
    <w:p w14:paraId="60254B47" w14:textId="513382FF" w:rsidR="00F1003C" w:rsidRDefault="00F1003C">
      <w:r>
        <w:t>Javier García</w:t>
      </w:r>
    </w:p>
    <w:p w14:paraId="40354F7F" w14:textId="144948D8" w:rsidR="00F1003C" w:rsidRDefault="00000000">
      <w:hyperlink r:id="rId7" w:history="1">
        <w:r w:rsidR="00F1003C" w:rsidRPr="005F62C1">
          <w:rPr>
            <w:rStyle w:val="Hipervnculo"/>
          </w:rPr>
          <w:t>javier.garcia@aiep.cl</w:t>
        </w:r>
      </w:hyperlink>
      <w:r w:rsidR="00F1003C">
        <w:t xml:space="preserve"> </w:t>
      </w:r>
    </w:p>
    <w:p w14:paraId="5A7C4149" w14:textId="6BE17DE9" w:rsidR="00F1003C" w:rsidRDefault="00F1003C"/>
    <w:p w14:paraId="6B72035B" w14:textId="77777777" w:rsidR="00A72F1F" w:rsidRPr="00A72F1F" w:rsidRDefault="00F1003C" w:rsidP="00A72F1F">
      <w:pPr>
        <w:jc w:val="both"/>
        <w:rPr>
          <w:b/>
          <w:bCs/>
        </w:rPr>
      </w:pPr>
      <w:r w:rsidRPr="00A72F1F">
        <w:rPr>
          <w:b/>
          <w:bCs/>
        </w:rPr>
        <w:t>Resumen</w:t>
      </w:r>
    </w:p>
    <w:p w14:paraId="61CF2D12" w14:textId="6B2A7D06" w:rsidR="00A72F1F" w:rsidRDefault="00A72F1F" w:rsidP="00A72F1F">
      <w:pPr>
        <w:jc w:val="both"/>
      </w:pPr>
      <w:r>
        <w:t>La ponencia corresponde al área temática “Vinculación con el medio y su relación con la docencia de pregrado o posgrado”, en la categoría “Sistemas de información para apoyar los procesos de monitoreo y evaluación de resultados o impacto”. La ponencia toma como base el doble rol de las instituciones de educación superior en los objetivos de desarrollo sostenible y la importancia de observar el despliegue de iniciativas a la luz de estos objetivos. La ponencia se constituye a partir de un análisis longitudinal de las iniciativas de vinculación con el medio desarrolladas por el Instituto Profesional AIEP y su relación con los objetivos de desarrollo sostenible. Además, el análisis se complementa con el despliegue e impacto territorial de las iniciativas desarrolladas por la institución.</w:t>
      </w:r>
    </w:p>
    <w:p w14:paraId="580B3142" w14:textId="77777777" w:rsidR="00A72F1F" w:rsidRDefault="00A72F1F" w:rsidP="00A72F1F">
      <w:pPr>
        <w:jc w:val="both"/>
      </w:pPr>
    </w:p>
    <w:p w14:paraId="639DE565" w14:textId="406DA856" w:rsidR="00A72F1F" w:rsidRPr="00A72F1F" w:rsidRDefault="00A72F1F" w:rsidP="00A72F1F">
      <w:pPr>
        <w:jc w:val="both"/>
        <w:rPr>
          <w:b/>
          <w:bCs/>
        </w:rPr>
      </w:pPr>
      <w:r w:rsidRPr="00A72F1F">
        <w:rPr>
          <w:b/>
          <w:bCs/>
        </w:rPr>
        <w:t>Palabras claves</w:t>
      </w:r>
    </w:p>
    <w:p w14:paraId="49DFD2A5" w14:textId="13AD9E34" w:rsidR="00A72F1F" w:rsidRPr="00A72F1F" w:rsidRDefault="00A72F1F" w:rsidP="00A72F1F">
      <w:pPr>
        <w:jc w:val="both"/>
      </w:pPr>
      <w:r>
        <w:t>ODS, territorio, pertinencia, impacto</w:t>
      </w:r>
    </w:p>
    <w:p w14:paraId="48BB93FE" w14:textId="77777777" w:rsidR="00A72F1F" w:rsidRDefault="00A72F1F"/>
    <w:p w14:paraId="0BD47912" w14:textId="4D19B2D2" w:rsidR="00A72F1F" w:rsidRDefault="00F1003C">
      <w:pPr>
        <w:rPr>
          <w:b/>
          <w:bCs/>
        </w:rPr>
      </w:pPr>
      <w:r w:rsidRPr="00A72F1F">
        <w:rPr>
          <w:b/>
          <w:bCs/>
        </w:rPr>
        <w:t>Introducción</w:t>
      </w:r>
    </w:p>
    <w:p w14:paraId="21887EF1" w14:textId="325FFFD9" w:rsidR="00F73C6D" w:rsidRDefault="00F73C6D" w:rsidP="00F73C6D">
      <w:pPr>
        <w:jc w:val="both"/>
        <w:rPr>
          <w:lang w:val="es-ES"/>
        </w:rPr>
      </w:pPr>
      <w:r w:rsidRPr="00F73C6D">
        <w:t>Las instituciones de educación superior t</w:t>
      </w:r>
      <w:r>
        <w:t xml:space="preserve">ienen </w:t>
      </w:r>
      <w:r w:rsidRPr="00F73C6D">
        <w:t>un rol fundamental en los objetivos de desarrollo sostenible porque tribut</w:t>
      </w:r>
      <w:r>
        <w:t>an</w:t>
      </w:r>
      <w:r w:rsidRPr="00F73C6D">
        <w:t xml:space="preserve"> al objetivo N°4, “Educación de calidad”</w:t>
      </w:r>
      <w:r w:rsidR="00676004">
        <w:t xml:space="preserve"> </w:t>
      </w:r>
      <w:r w:rsidRPr="00F73C6D">
        <w:t>que establece como prioridad “</w:t>
      </w:r>
      <w:r w:rsidR="00A72F1F" w:rsidRPr="00A72F1F">
        <w:rPr>
          <w:lang w:val="es-ES"/>
        </w:rPr>
        <w:t>Garantizar una educación inclusiva, equitativa y de calidad y promover oportunidades de aprendizaje durante toda la vida para todos</w:t>
      </w:r>
      <w:r w:rsidR="00A72F1F" w:rsidRPr="00F73C6D">
        <w:rPr>
          <w:lang w:val="es-ES"/>
        </w:rPr>
        <w:t>”</w:t>
      </w:r>
      <w:r w:rsidR="009B71AC">
        <w:rPr>
          <w:lang w:val="es-ES"/>
        </w:rPr>
        <w:t xml:space="preserve"> (UNESCO, 2016; 2018)</w:t>
      </w:r>
      <w:r w:rsidR="00A72F1F" w:rsidRPr="00F73C6D">
        <w:rPr>
          <w:lang w:val="es-ES"/>
        </w:rPr>
        <w:t xml:space="preserve">. </w:t>
      </w:r>
    </w:p>
    <w:p w14:paraId="09AAC3B1" w14:textId="77220E4E" w:rsidR="00F73C6D" w:rsidRDefault="00F73C6D" w:rsidP="00F73C6D">
      <w:pPr>
        <w:jc w:val="both"/>
        <w:rPr>
          <w:lang w:val="es-ES"/>
        </w:rPr>
      </w:pPr>
    </w:p>
    <w:p w14:paraId="708BAF39" w14:textId="20AD40C0" w:rsidR="00F73C6D" w:rsidRDefault="00F73C6D" w:rsidP="00F73C6D">
      <w:pPr>
        <w:jc w:val="both"/>
        <w:rPr>
          <w:lang w:val="es-ES"/>
        </w:rPr>
      </w:pPr>
      <w:r>
        <w:rPr>
          <w:lang w:val="es-ES"/>
        </w:rPr>
        <w:t xml:space="preserve">Ahora bien, cada institución de educación superior también contribuye al logro conjunto de los objetivos de desarrollo sostenible, dado que </w:t>
      </w:r>
      <w:r w:rsidR="00676004">
        <w:rPr>
          <w:lang w:val="es-ES"/>
        </w:rPr>
        <w:t>desarrollan distintas iniciativas para la</w:t>
      </w:r>
      <w:r>
        <w:rPr>
          <w:lang w:val="es-ES"/>
        </w:rPr>
        <w:t xml:space="preserve"> formación de personas, producción de conocimiento e innovación</w:t>
      </w:r>
      <w:r w:rsidR="009B71AC">
        <w:rPr>
          <w:lang w:val="es-ES"/>
        </w:rPr>
        <w:t xml:space="preserve"> (UNESCO, 2016; 2018)</w:t>
      </w:r>
      <w:r>
        <w:rPr>
          <w:lang w:val="es-ES"/>
        </w:rPr>
        <w:t>.</w:t>
      </w:r>
    </w:p>
    <w:p w14:paraId="3320BDB4" w14:textId="0A1A6B4D" w:rsidR="00676004" w:rsidRDefault="00676004" w:rsidP="00F73C6D">
      <w:pPr>
        <w:jc w:val="both"/>
        <w:rPr>
          <w:lang w:val="es-ES"/>
        </w:rPr>
      </w:pPr>
    </w:p>
    <w:p w14:paraId="32931256" w14:textId="6FD8C781" w:rsidR="00676004" w:rsidRDefault="00676004" w:rsidP="00F73C6D">
      <w:pPr>
        <w:jc w:val="both"/>
        <w:rPr>
          <w:lang w:val="es-ES"/>
        </w:rPr>
      </w:pPr>
      <w:r>
        <w:rPr>
          <w:lang w:val="es-ES"/>
        </w:rPr>
        <w:t>Es aquí donde surge la pregunta sobre cómo contribuimos a los objetivos de desarrollo sostenible, o de qué forma podemos establecer el vínculo entre las iniciativas que desarrollamos y estos objetivos. Para responder estas preguntas, es clave considerar los sistemas de información para apoyar los procesos de monitoreo y evaluación de resultados e impacto.</w:t>
      </w:r>
    </w:p>
    <w:p w14:paraId="6A6A8AA2" w14:textId="145562EA" w:rsidR="00676004" w:rsidRDefault="00676004" w:rsidP="00F73C6D">
      <w:pPr>
        <w:jc w:val="both"/>
        <w:rPr>
          <w:lang w:val="es-ES"/>
        </w:rPr>
      </w:pPr>
    </w:p>
    <w:p w14:paraId="4235CFED" w14:textId="221043A3" w:rsidR="00676004" w:rsidRDefault="00676004" w:rsidP="00F73C6D">
      <w:pPr>
        <w:jc w:val="both"/>
        <w:rPr>
          <w:lang w:val="es-ES"/>
        </w:rPr>
      </w:pPr>
      <w:r>
        <w:rPr>
          <w:lang w:val="es-ES"/>
        </w:rPr>
        <w:t xml:space="preserve">Por esto, </w:t>
      </w:r>
      <w:r w:rsidR="009B71AC">
        <w:rPr>
          <w:lang w:val="es-ES"/>
        </w:rPr>
        <w:t xml:space="preserve">en </w:t>
      </w:r>
      <w:r>
        <w:rPr>
          <w:lang w:val="es-ES"/>
        </w:rPr>
        <w:t>el Instituto Profesional AIEP</w:t>
      </w:r>
      <w:r w:rsidR="009B71AC">
        <w:rPr>
          <w:lang w:val="es-ES"/>
        </w:rPr>
        <w:t xml:space="preserve"> </w:t>
      </w:r>
      <w:r>
        <w:rPr>
          <w:lang w:val="es-ES"/>
        </w:rPr>
        <w:t>las iniciativas de vinculación con el medio son registradas en una plataforma que permite cuantificar distintas dimensiones del modelo de vinculación con el medio, así como analizar el despliegue territorial de las iniciativas desarrolladas.</w:t>
      </w:r>
      <w:r w:rsidR="004A4B12">
        <w:rPr>
          <w:lang w:val="es-ES"/>
        </w:rPr>
        <w:t xml:space="preserve"> </w:t>
      </w:r>
      <w:r>
        <w:rPr>
          <w:lang w:val="es-ES"/>
        </w:rPr>
        <w:t>A nivel complementario, la plataforma permite asociar la información de cada iniciativa a los objetivos de desarrollo sostenible</w:t>
      </w:r>
      <w:r w:rsidR="004A4B12">
        <w:rPr>
          <w:lang w:val="es-ES"/>
        </w:rPr>
        <w:t xml:space="preserve">, </w:t>
      </w:r>
      <w:r>
        <w:rPr>
          <w:lang w:val="es-ES"/>
        </w:rPr>
        <w:t>a través de un algoritmo</w:t>
      </w:r>
      <w:r w:rsidR="004A4B12">
        <w:rPr>
          <w:lang w:val="es-ES"/>
        </w:rPr>
        <w:t>.</w:t>
      </w:r>
    </w:p>
    <w:p w14:paraId="1E90B4AE" w14:textId="30702AEA" w:rsidR="00824034" w:rsidRDefault="00824034" w:rsidP="00F73C6D">
      <w:pPr>
        <w:jc w:val="both"/>
        <w:rPr>
          <w:lang w:val="es-ES"/>
        </w:rPr>
      </w:pPr>
    </w:p>
    <w:p w14:paraId="0D6854D7" w14:textId="13F34EE5" w:rsidR="00824034" w:rsidRDefault="00824034" w:rsidP="00824034">
      <w:pPr>
        <w:jc w:val="both"/>
        <w:rPr>
          <w:lang w:val="es-ES"/>
        </w:rPr>
      </w:pPr>
      <w:r>
        <w:rPr>
          <w:lang w:val="es-ES"/>
        </w:rPr>
        <w:t xml:space="preserve">Con todo, la ponencia busca relevar el doble rol de las instituciones de educación superior para con los objetivos de desarrollo sostenible y reflexionar sobre el vinculo que se establece entre las iniciativas de vinculación con el medio y estos objetivos. Para esto, la ponencia considera un análisis longitudinal e incluye las iniciativas desarrolladas por la institución desde el 2018 a 2022. Además, establece mecanismos para identificar el despliegue territorial de las iniciativas de vinculación con el medio. </w:t>
      </w:r>
    </w:p>
    <w:p w14:paraId="38838A1B" w14:textId="5CC2A9E0" w:rsidR="00824034" w:rsidRDefault="00824034" w:rsidP="00824034">
      <w:pPr>
        <w:jc w:val="both"/>
        <w:rPr>
          <w:lang w:val="es-ES"/>
        </w:rPr>
      </w:pPr>
    </w:p>
    <w:p w14:paraId="32FBE725" w14:textId="3367BC8B" w:rsidR="00824034" w:rsidRDefault="00824034" w:rsidP="00824034">
      <w:pPr>
        <w:jc w:val="both"/>
        <w:rPr>
          <w:lang w:val="es-ES"/>
        </w:rPr>
      </w:pPr>
      <w:r>
        <w:rPr>
          <w:lang w:val="es-ES"/>
        </w:rPr>
        <w:t xml:space="preserve">Las principales conclusiones de la ponencia se relacionan con la importancia del registro y medición de iniciativas de vinculación con el medio, la integración del componente territorial en los análisis, </w:t>
      </w:r>
      <w:r>
        <w:rPr>
          <w:lang w:val="es-ES"/>
        </w:rPr>
        <w:lastRenderedPageBreak/>
        <w:t xml:space="preserve">la consideración de nuevos mecanismos para aproximarse a la contribución e impacto, y el rol de los objetivos de desarrollo sostenible como marco de referencia o parámetro estandarizado de comparación entre instituciones. </w:t>
      </w:r>
    </w:p>
    <w:p w14:paraId="2DB8EDAC" w14:textId="2A82BCC6" w:rsidR="007E3251" w:rsidRDefault="007E3251" w:rsidP="00824034">
      <w:pPr>
        <w:jc w:val="both"/>
        <w:rPr>
          <w:lang w:val="es-ES"/>
        </w:rPr>
      </w:pPr>
    </w:p>
    <w:p w14:paraId="0E7E26C2" w14:textId="3F2932DE" w:rsidR="007E3251" w:rsidRPr="007E3251" w:rsidRDefault="007E3251" w:rsidP="00824034">
      <w:pPr>
        <w:jc w:val="both"/>
        <w:rPr>
          <w:b/>
          <w:bCs/>
          <w:lang w:val="es-ES"/>
        </w:rPr>
      </w:pPr>
      <w:r w:rsidRPr="007E3251">
        <w:rPr>
          <w:b/>
          <w:bCs/>
          <w:lang w:val="es-ES"/>
        </w:rPr>
        <w:t>Contexto y resultados preliminares</w:t>
      </w:r>
    </w:p>
    <w:p w14:paraId="2A914771" w14:textId="226E76E5" w:rsidR="007E3251" w:rsidRDefault="007E3251" w:rsidP="00824034">
      <w:pPr>
        <w:jc w:val="both"/>
        <w:rPr>
          <w:lang w:val="es-ES"/>
        </w:rPr>
      </w:pPr>
    </w:p>
    <w:p w14:paraId="02D3F58E" w14:textId="333D2839" w:rsidR="007E3251" w:rsidRDefault="007E3251" w:rsidP="00824034">
      <w:pPr>
        <w:jc w:val="both"/>
        <w:rPr>
          <w:lang w:val="es-ES"/>
        </w:rPr>
      </w:pPr>
      <w:r>
        <w:rPr>
          <w:lang w:val="es-ES"/>
        </w:rPr>
        <w:t>A continuación, se introducen algunos aspectos que sirven para contextualizar la ponencia, tales como: objetivos de desarrollo sostenible y su relación con la educación superior, pertinencia territorial y plataformas de registro. Además, se detallan resultados preliminares.</w:t>
      </w:r>
    </w:p>
    <w:p w14:paraId="3FA78F02" w14:textId="1A261825" w:rsidR="004A4B12" w:rsidRDefault="004A4B12" w:rsidP="00F73C6D">
      <w:pPr>
        <w:jc w:val="both"/>
        <w:rPr>
          <w:lang w:val="es-ES"/>
        </w:rPr>
      </w:pPr>
    </w:p>
    <w:p w14:paraId="0DE15117" w14:textId="67AD670A" w:rsidR="00F1003C" w:rsidRPr="009135AA" w:rsidRDefault="009135AA" w:rsidP="007E3251">
      <w:pPr>
        <w:ind w:left="708"/>
        <w:rPr>
          <w:b/>
          <w:bCs/>
        </w:rPr>
      </w:pPr>
      <w:r w:rsidRPr="009135AA">
        <w:rPr>
          <w:b/>
          <w:bCs/>
        </w:rPr>
        <w:t>Los objetivos de desarrollo sostenible</w:t>
      </w:r>
    </w:p>
    <w:p w14:paraId="464E159D" w14:textId="55B79B39" w:rsidR="009135AA" w:rsidRDefault="009135AA" w:rsidP="007E3251">
      <w:pPr>
        <w:ind w:left="708"/>
        <w:jc w:val="both"/>
      </w:pPr>
      <w:r>
        <w:t>Los objetivos de desarrollo sostenible fueron adoptados por Naciones Unidas en 2015 como una llamada universal a poner fin a la pobreza, proteger el planeta y garantizar que para el 2030 todas las personas disfruten de paz y prosperidad (</w:t>
      </w:r>
      <w:r w:rsidR="009B71AC">
        <w:t xml:space="preserve">CEPAL, 2021; </w:t>
      </w:r>
      <w:r>
        <w:t xml:space="preserve">PNUD, 2022). Estos objetivos reconocen que la acción en un área afectará los resultados en otras áreas y que el desarrollo debe equilibrar la sostenibilidad social, económica y ambiental. Es así como los objetivos de desarrollo sostenible están diseñados para acaba con la </w:t>
      </w:r>
      <w:r w:rsidRPr="009135AA">
        <w:t>pobreza, el hambre, el sida y la discriminación contra mujeres y niñas.</w:t>
      </w:r>
      <w:r>
        <w:t xml:space="preserve"> En este marco, y para alcanzar los objetivos de desarrollo sostenible en todos los contextos, es fundamental considerar la creatividad, conocimientos, tecnologías y recursos financieros de toda la sociedad.</w:t>
      </w:r>
    </w:p>
    <w:p w14:paraId="736C70E4" w14:textId="2233C4DB" w:rsidR="00B03C82" w:rsidRDefault="00B03C82" w:rsidP="007E3251">
      <w:pPr>
        <w:ind w:left="708"/>
        <w:jc w:val="both"/>
      </w:pPr>
    </w:p>
    <w:p w14:paraId="0513975A" w14:textId="763201DD" w:rsidR="00B03C82" w:rsidRPr="009135AA" w:rsidRDefault="00F42E7E" w:rsidP="00F42E7E">
      <w:pPr>
        <w:ind w:left="708"/>
        <w:jc w:val="both"/>
      </w:pPr>
      <w:r>
        <w:t xml:space="preserve">Los objetivos de desarrollo sostenible son resultado de un proceso de consultas que enfatizan en las distintas realidades de la sociedad: </w:t>
      </w:r>
      <w:r w:rsidR="00B03C82" w:rsidRPr="00F42E7E">
        <w:t>el fin de la pobreza, hambre cero, salud y bienestar, educación de calidad, igualdad de género, agua limpia y saneamiento, energía asequible y no contaminante, trabajo decente y crecimiento económico; industria e innovación, reducción de las desigualdades, ciudades y comunidades sostenibles, producción y consumo responsables, acción por el clima, vida submarina, vida de ecosistemas terrestres, paz, justicia e instituciones sólidas, y alianzas para lograr los objetivos</w:t>
      </w:r>
      <w:r w:rsidRPr="00F42E7E">
        <w:t xml:space="preserve">. Todo esto, en el marco de un enfoque de </w:t>
      </w:r>
      <w:r w:rsidR="00B03C82" w:rsidRPr="00F42E7E">
        <w:t>derechos humanos y que cada país pueda gozar de un desarrollo económico, integrador y permanente en su totalidad</w:t>
      </w:r>
      <w:r w:rsidR="009B71AC">
        <w:t xml:space="preserve"> (</w:t>
      </w:r>
      <w:r w:rsidR="009B71AC" w:rsidRPr="009B71AC">
        <w:t xml:space="preserve">Durand, P., </w:t>
      </w:r>
      <w:r w:rsidR="009B71AC">
        <w:t>y</w:t>
      </w:r>
      <w:r w:rsidR="009B71AC" w:rsidRPr="009B71AC">
        <w:t xml:space="preserve"> Gerabert</w:t>
      </w:r>
      <w:r w:rsidR="009B71AC">
        <w:t xml:space="preserve">, </w:t>
      </w:r>
      <w:r w:rsidR="009B71AC" w:rsidRPr="009B71AC">
        <w:t>2020).</w:t>
      </w:r>
    </w:p>
    <w:p w14:paraId="420FFA8B" w14:textId="77777777" w:rsidR="009135AA" w:rsidRDefault="009135AA"/>
    <w:p w14:paraId="1DFE002B" w14:textId="3E79A151" w:rsidR="009135AA" w:rsidRDefault="009135AA" w:rsidP="007E3251">
      <w:pPr>
        <w:ind w:left="708"/>
        <w:rPr>
          <w:b/>
          <w:bCs/>
        </w:rPr>
      </w:pPr>
      <w:r w:rsidRPr="009135AA">
        <w:rPr>
          <w:b/>
          <w:bCs/>
        </w:rPr>
        <w:t>Los objetivos de desarrollo sostenible en la educación superior</w:t>
      </w:r>
    </w:p>
    <w:p w14:paraId="6621EC78" w14:textId="7754FEE1" w:rsidR="00F42E7E" w:rsidRDefault="00F42E7E" w:rsidP="00F42E7E">
      <w:pPr>
        <w:ind w:left="708"/>
        <w:jc w:val="both"/>
      </w:pPr>
      <w:r w:rsidRPr="00F42E7E">
        <w:t xml:space="preserve">La educación es una practica social que ocupa un rol intransferible en la contribución al desarrollo de innovaciones tecnológicas, ciencia, conocimientos e interacciones en la sociedad. Todo esto con el fin de generar cambios a futuro en el comportamiento humano y que permitan una sociedad justa para todo, con equidad y justicia en todos los aspectos. </w:t>
      </w:r>
      <w:hyperlink r:id="rId8" w:anchor="redalyc_704173394009_ref8" w:history="1">
        <w:r w:rsidRPr="00F42E7E">
          <w:t>(Chacón, Montbrun, y Rastelli, 2009)</w:t>
        </w:r>
      </w:hyperlink>
      <w:r w:rsidRPr="00F42E7E">
        <w:t>.</w:t>
      </w:r>
    </w:p>
    <w:p w14:paraId="12C30570" w14:textId="77777777" w:rsidR="00F42E7E" w:rsidRPr="00F42E7E" w:rsidRDefault="00F42E7E" w:rsidP="00F42E7E">
      <w:pPr>
        <w:ind w:left="708"/>
        <w:jc w:val="both"/>
      </w:pPr>
    </w:p>
    <w:p w14:paraId="5B3E5886" w14:textId="4FBA210B" w:rsidR="00C57A35" w:rsidRDefault="00C57A35" w:rsidP="007E3251">
      <w:pPr>
        <w:ind w:left="708"/>
        <w:jc w:val="both"/>
      </w:pPr>
      <w:r w:rsidRPr="00C57A35">
        <w:t>Según el Instituto Internacional de la UNESCO para la Educación Superior en América Latina y el Caribe (IESALC), las instituciones de educación superior se encuentran en una posición única para promover los objetivos de desarrollo sostenible y servir de referentes para otros actores de la sociedad.</w:t>
      </w:r>
      <w:r>
        <w:t xml:space="preserve"> Se advierte con esto un rol preponderante de las instituciones de educación superior, debido a que contribuyen a mejorar la calidad de vida de las personas (IESELC, 2022).</w:t>
      </w:r>
    </w:p>
    <w:p w14:paraId="32927C29" w14:textId="38B21094" w:rsidR="00F42E7E" w:rsidRDefault="00F42E7E" w:rsidP="007E3251">
      <w:pPr>
        <w:ind w:left="708"/>
        <w:jc w:val="both"/>
      </w:pPr>
    </w:p>
    <w:p w14:paraId="69885979" w14:textId="51D0EF16" w:rsidR="00F42E7E" w:rsidRDefault="00F42E7E" w:rsidP="00F42E7E">
      <w:pPr>
        <w:ind w:left="708"/>
        <w:jc w:val="both"/>
      </w:pPr>
      <w:r>
        <w:t xml:space="preserve">Uno de los principales mecanismos que las instituciones de educación superior han desarrollado para contribuir a los objetivos de desarrollo sostenible lo constituyen </w:t>
      </w:r>
      <w:r>
        <w:lastRenderedPageBreak/>
        <w:t xml:space="preserve">actividades de ciencia e investigación, </w:t>
      </w:r>
      <w:r w:rsidR="00B03C82">
        <w:t xml:space="preserve">proporcionando bases para generar soluciones y tecnologías que hacen frente a todos los desafíos que implica la integración de </w:t>
      </w:r>
      <w:r>
        <w:t>los objetivos de desarrollo sostenible</w:t>
      </w:r>
      <w:r w:rsidR="00B03C82">
        <w:t xml:space="preserve"> (O’Keeffe, 2016). </w:t>
      </w:r>
    </w:p>
    <w:p w14:paraId="57710737" w14:textId="262EBC39" w:rsidR="00F42E7E" w:rsidRDefault="00F42E7E" w:rsidP="00F42E7E">
      <w:pPr>
        <w:ind w:left="708"/>
        <w:jc w:val="both"/>
      </w:pPr>
    </w:p>
    <w:p w14:paraId="0EA8B666" w14:textId="552223DA" w:rsidR="00B03C82" w:rsidRDefault="00F42E7E" w:rsidP="00F42E7E">
      <w:pPr>
        <w:ind w:left="708"/>
        <w:jc w:val="both"/>
      </w:pPr>
      <w:r>
        <w:t xml:space="preserve">Además, se observa que es de vital importancia que las instituciones de educación superior logren </w:t>
      </w:r>
      <w:r w:rsidR="00B03C82">
        <w:t>relevancia en la implementación de l</w:t>
      </w:r>
      <w:r>
        <w:t xml:space="preserve">os objetivos de desarrollo sostenible </w:t>
      </w:r>
      <w:r w:rsidR="00B03C82">
        <w:t>(Elmassah et al., 2021).</w:t>
      </w:r>
      <w:r>
        <w:t xml:space="preserve"> Por otro lado, se advierte que las instituciones de educación superior han demostrado una preocupación por este tema, aún se requiere un aporte robusto de ellas (</w:t>
      </w:r>
      <w:r w:rsidR="00B03C82">
        <w:t>De La Poza et al.,2021)</w:t>
      </w:r>
    </w:p>
    <w:p w14:paraId="3BCBB563" w14:textId="10FA6BB6" w:rsidR="007E3251" w:rsidRDefault="007E3251" w:rsidP="00C57A35">
      <w:pPr>
        <w:jc w:val="both"/>
      </w:pPr>
    </w:p>
    <w:p w14:paraId="0E4147E4" w14:textId="5DC51368" w:rsidR="007E3251" w:rsidRPr="00B03C82" w:rsidRDefault="007E3251" w:rsidP="007E3251">
      <w:pPr>
        <w:ind w:left="708"/>
        <w:jc w:val="both"/>
        <w:rPr>
          <w:b/>
          <w:bCs/>
        </w:rPr>
      </w:pPr>
      <w:r w:rsidRPr="00B03C82">
        <w:rPr>
          <w:b/>
          <w:bCs/>
        </w:rPr>
        <w:t>La pertinencia territorial</w:t>
      </w:r>
    </w:p>
    <w:p w14:paraId="55A62332" w14:textId="77777777" w:rsidR="00B03C82" w:rsidRPr="00B03C82" w:rsidRDefault="00B03C82" w:rsidP="00B03C82">
      <w:pPr>
        <w:ind w:left="708"/>
        <w:jc w:val="both"/>
      </w:pPr>
      <w:r w:rsidRPr="00B03C82">
        <w:t>En la actualidad, los requerimientos de coordinación y efectividad de las acciones públicas y privadas van en constante crecimiento. Frente a esto, enfocarse en determinadas zonas geográficas presenta un potencial para resolver dificultades persistentes y difíciles de remover, así como para generar nuevas oportunidades de acción (Serrano, 2010).</w:t>
      </w:r>
    </w:p>
    <w:p w14:paraId="61A12AA6" w14:textId="77777777" w:rsidR="00B03C82" w:rsidRPr="00B03C82" w:rsidRDefault="00B03C82" w:rsidP="00B03C82">
      <w:pPr>
        <w:jc w:val="both"/>
      </w:pPr>
    </w:p>
    <w:p w14:paraId="268128D6" w14:textId="77777777" w:rsidR="00B03C82" w:rsidRPr="00B03C82" w:rsidRDefault="00B03C82" w:rsidP="00B03C82">
      <w:pPr>
        <w:ind w:left="708"/>
        <w:jc w:val="both"/>
      </w:pPr>
      <w:r w:rsidRPr="00B03C82">
        <w:t>En esta línea, existe un tipo de focalización en el diseño y planificación de programas e iniciativas denominado pertinencia territorial, y que toma como referencia variables sociales, económicas, espaciales y culturales propias de la zona geográfica a intervenir (Raczynski, 1995).</w:t>
      </w:r>
    </w:p>
    <w:p w14:paraId="0DDD6B24" w14:textId="77777777" w:rsidR="00B03C82" w:rsidRPr="00B03C82" w:rsidRDefault="00B03C82" w:rsidP="00B03C82">
      <w:pPr>
        <w:ind w:left="708"/>
        <w:jc w:val="both"/>
      </w:pPr>
    </w:p>
    <w:p w14:paraId="1B293CE3" w14:textId="77777777" w:rsidR="00B03C82" w:rsidRPr="00B03C82" w:rsidRDefault="00B03C82" w:rsidP="00B03C82">
      <w:pPr>
        <w:ind w:left="708"/>
        <w:jc w:val="both"/>
      </w:pPr>
      <w:r w:rsidRPr="00B03C82">
        <w:t>La pertinencia territorial se sustenta en que cada zona geográfica corresponde a una construcción histórica de un espacio dotado de recursos, el cual genera un ecosistema con determinadas formas de aprovechamiento de estructuras económico-productivas y que cimienta las bases para la construcción de redes sociodemográficas, institucionales y económicas particulares (Echeverri, 2011). Es así como la pertinencia territorial nos invita a considerar la identidad del espacio -tradiciones, cultura, vida social y entorno económico- en el diseño y planificación de programas e iniciativas (Ídem).</w:t>
      </w:r>
    </w:p>
    <w:p w14:paraId="74B7526F" w14:textId="77777777" w:rsidR="00B03C82" w:rsidRPr="00B03C82" w:rsidRDefault="00B03C82" w:rsidP="00B03C82">
      <w:pPr>
        <w:ind w:left="708"/>
        <w:jc w:val="both"/>
      </w:pPr>
    </w:p>
    <w:p w14:paraId="321CD931" w14:textId="3C76F351" w:rsidR="00B03C82" w:rsidRPr="00B03C82" w:rsidRDefault="00B03C82" w:rsidP="00B03C82">
      <w:pPr>
        <w:ind w:left="708"/>
        <w:jc w:val="both"/>
      </w:pPr>
      <w:r w:rsidRPr="00B03C82">
        <w:t>En términos generales, la importancia de la pertinencia territorial radica en su contribución positiva a la medición de resultados, impacto y sustentabilidad de los programas e iniciativas porque permite fijar un marco de referencia y/o línea base para su futura evaluación (Echeverri, 2011; Fuster, 2016). Adicionalmente, desarrollar iniciativas y proyectos que considerar pertinencia local permite (Serrano, 2010):</w:t>
      </w:r>
    </w:p>
    <w:p w14:paraId="17C4E8BF" w14:textId="77777777" w:rsidR="00B03C82" w:rsidRPr="00B03C82" w:rsidRDefault="00B03C82" w:rsidP="00B03C82">
      <w:pPr>
        <w:pStyle w:val="Prrafodelista"/>
        <w:numPr>
          <w:ilvl w:val="0"/>
          <w:numId w:val="11"/>
        </w:numPr>
        <w:spacing w:before="0" w:beforeAutospacing="0" w:after="0" w:afterAutospacing="0"/>
        <w:contextualSpacing/>
        <w:jc w:val="both"/>
        <w:rPr>
          <w:lang w:eastAsia="en-US"/>
        </w:rPr>
      </w:pPr>
      <w:r w:rsidRPr="00B03C82">
        <w:rPr>
          <w:lang w:eastAsia="en-US"/>
        </w:rPr>
        <w:t>Generar de externalidades positivas en el entorno</w:t>
      </w:r>
    </w:p>
    <w:p w14:paraId="7821A6D9" w14:textId="77777777" w:rsidR="00B03C82" w:rsidRPr="00B03C82" w:rsidRDefault="00B03C82" w:rsidP="00B03C82">
      <w:pPr>
        <w:pStyle w:val="Prrafodelista"/>
        <w:numPr>
          <w:ilvl w:val="0"/>
          <w:numId w:val="11"/>
        </w:numPr>
        <w:spacing w:before="0" w:beforeAutospacing="0" w:after="0" w:afterAutospacing="0"/>
        <w:contextualSpacing/>
        <w:jc w:val="both"/>
        <w:rPr>
          <w:lang w:eastAsia="en-US"/>
        </w:rPr>
      </w:pPr>
      <w:r w:rsidRPr="00B03C82">
        <w:rPr>
          <w:lang w:eastAsia="en-US"/>
        </w:rPr>
        <w:t>Movilizar activos presentes en el territorio agregando valor al conjunto de los procesos</w:t>
      </w:r>
    </w:p>
    <w:p w14:paraId="3E0ACD44" w14:textId="77777777" w:rsidR="00B03C82" w:rsidRPr="00B03C82" w:rsidRDefault="00B03C82" w:rsidP="00B03C82">
      <w:pPr>
        <w:pStyle w:val="Prrafodelista"/>
        <w:numPr>
          <w:ilvl w:val="0"/>
          <w:numId w:val="11"/>
        </w:numPr>
        <w:spacing w:before="0" w:beforeAutospacing="0" w:after="0" w:afterAutospacing="0"/>
        <w:contextualSpacing/>
        <w:jc w:val="both"/>
        <w:rPr>
          <w:lang w:eastAsia="en-US"/>
        </w:rPr>
      </w:pPr>
      <w:r w:rsidRPr="00B03C82">
        <w:rPr>
          <w:lang w:eastAsia="en-US"/>
        </w:rPr>
        <w:t>Establecer relaciones cooperativas de mutuo interés entre diversos actores</w:t>
      </w:r>
    </w:p>
    <w:p w14:paraId="3F717C0D" w14:textId="77777777" w:rsidR="00B03C82" w:rsidRPr="00B03C82" w:rsidRDefault="00B03C82" w:rsidP="00B03C82">
      <w:pPr>
        <w:pStyle w:val="Prrafodelista"/>
        <w:numPr>
          <w:ilvl w:val="0"/>
          <w:numId w:val="11"/>
        </w:numPr>
        <w:spacing w:before="0" w:beforeAutospacing="0" w:after="0" w:afterAutospacing="0"/>
        <w:contextualSpacing/>
        <w:jc w:val="both"/>
        <w:rPr>
          <w:lang w:eastAsia="en-US"/>
        </w:rPr>
      </w:pPr>
      <w:r w:rsidRPr="00B03C82">
        <w:rPr>
          <w:lang w:eastAsia="en-US"/>
        </w:rPr>
        <w:t>Abordar asuntos de equidad e inclusión social</w:t>
      </w:r>
    </w:p>
    <w:p w14:paraId="3BC94B4D" w14:textId="77777777" w:rsidR="00B03C82" w:rsidRPr="007E3251" w:rsidRDefault="00B03C82" w:rsidP="007E3251">
      <w:pPr>
        <w:ind w:left="708"/>
        <w:jc w:val="both"/>
        <w:rPr>
          <w:b/>
          <w:bCs/>
        </w:rPr>
      </w:pPr>
    </w:p>
    <w:p w14:paraId="7BBAAF6C" w14:textId="77777777" w:rsidR="007E3251" w:rsidRDefault="007E3251" w:rsidP="007E3251">
      <w:pPr>
        <w:ind w:left="708"/>
        <w:jc w:val="both"/>
      </w:pPr>
      <w:r>
        <w:t xml:space="preserve">La pertinencia territorial permite analizar el despliegue de las iniciativas de vinculación con el medio respecto al horizonte geográfico en que se despliegue. Es así como se plantea como fundamental en el quehacer de las instituciones </w:t>
      </w:r>
      <w:r w:rsidRPr="007E3251">
        <w:t>de educación superior porque permite reaccionar a los contextos sociales definiendo actores prioritarios por afiliación geográfica -proximidad. De esta forma, la pertinencia local se convierte en una fuente de sentido de las acciones que cada institución realiza, dotando de materialidad y escenario para concretar sus impactos.</w:t>
      </w:r>
    </w:p>
    <w:p w14:paraId="5172ABB6" w14:textId="77777777" w:rsidR="007E3251" w:rsidRDefault="007E3251" w:rsidP="007E3251">
      <w:pPr>
        <w:ind w:left="708"/>
        <w:jc w:val="both"/>
      </w:pPr>
    </w:p>
    <w:p w14:paraId="0E231EBE" w14:textId="2D86C3DA" w:rsidR="007E3251" w:rsidRDefault="007E3251" w:rsidP="007E3251">
      <w:pPr>
        <w:ind w:left="708"/>
        <w:jc w:val="both"/>
      </w:pPr>
      <w:r w:rsidRPr="007E3251">
        <w:lastRenderedPageBreak/>
        <w:t xml:space="preserve">Para la Vinculación con el Medio, la pertinencia territorial contribuye a identificar problemas de las comunidades y actores de determinada zona geográfica y contribuir a través de sus funciones sustantivas al desarrollo local. De esta forma, la pertinencia </w:t>
      </w:r>
      <w:r>
        <w:t xml:space="preserve">territorial </w:t>
      </w:r>
      <w:r w:rsidRPr="007E3251">
        <w:t>va configurando el escenario en que se desarrollan los programas e iniciativas de Vinculación con el medio.</w:t>
      </w:r>
    </w:p>
    <w:p w14:paraId="7F6F3D7F" w14:textId="77777777" w:rsidR="007E3251" w:rsidRDefault="007E3251" w:rsidP="007E3251">
      <w:pPr>
        <w:ind w:left="708"/>
        <w:jc w:val="both"/>
      </w:pPr>
    </w:p>
    <w:p w14:paraId="42FC5B14" w14:textId="26144782" w:rsidR="007E3251" w:rsidRDefault="007E3251" w:rsidP="007E3251">
      <w:pPr>
        <w:ind w:left="708"/>
        <w:jc w:val="both"/>
      </w:pPr>
      <w:r w:rsidRPr="007E3251">
        <w:t>En este sentido, la importancia del territorio se configura en la medida en que los impactos de los programas e iniciativas se desarrollan en un horizonte socioespacial próximo a la institución y, al mismo tiempo, contribuyen a desafíos a gran escala.</w:t>
      </w:r>
    </w:p>
    <w:p w14:paraId="7307FA60" w14:textId="141D1EE7" w:rsidR="007E3251" w:rsidRDefault="007E3251" w:rsidP="007E3251">
      <w:pPr>
        <w:ind w:left="708"/>
        <w:jc w:val="both"/>
      </w:pPr>
    </w:p>
    <w:p w14:paraId="1846AF5E" w14:textId="4B21ABB9" w:rsidR="007E3251" w:rsidRPr="007E3251" w:rsidRDefault="007E3251" w:rsidP="007E3251">
      <w:pPr>
        <w:ind w:left="708"/>
        <w:jc w:val="both"/>
      </w:pPr>
      <w:r>
        <w:t xml:space="preserve">En </w:t>
      </w:r>
      <w:r w:rsidRPr="007E3251">
        <w:t>síntesis, la pertinencia territorial se relaciona con el despliegue de las instituciones de educación superior y las demandas y expectativas de zonas geográficas específicas, atendiendo a sus dimensiones políticas, económicas, sociales y culturales. Esto nos invita a reflexionar sobre las dinámicas y complejidades de cada espacio, sus problemáticas y potencialidades, así como a la búsqueda de mecanismos y modos que surtan efectos de cambio social para aportar a su desarrollo.</w:t>
      </w:r>
    </w:p>
    <w:p w14:paraId="65C5BFFB" w14:textId="6E62EFF9" w:rsidR="007E3251" w:rsidRPr="007E3251" w:rsidRDefault="007E3251" w:rsidP="007E3251">
      <w:pPr>
        <w:ind w:left="708"/>
        <w:jc w:val="both"/>
      </w:pPr>
    </w:p>
    <w:p w14:paraId="649D23F5" w14:textId="458CED55" w:rsidR="007E3251" w:rsidRPr="007E3251" w:rsidRDefault="007E3251" w:rsidP="007E3251">
      <w:pPr>
        <w:ind w:left="708"/>
        <w:jc w:val="both"/>
      </w:pPr>
      <w:r w:rsidRPr="007E3251">
        <w:t>Con todo, la pertinencia territorial relaciona estrechamente con los objetivos de desarrollo sostenible. Esto permite ponderar las necesidades del entorno, relacionarlas a los objetivos y considerar parámetros comunes para observar la contribución de las instituciones de educación superior al territorio.</w:t>
      </w:r>
    </w:p>
    <w:p w14:paraId="2A5917A2" w14:textId="77777777" w:rsidR="007E3251" w:rsidRPr="00C57A35" w:rsidRDefault="007E3251" w:rsidP="00C57A35">
      <w:pPr>
        <w:jc w:val="both"/>
      </w:pPr>
    </w:p>
    <w:p w14:paraId="332BB184" w14:textId="4DB6BF5F" w:rsidR="0086335C" w:rsidRDefault="0086335C" w:rsidP="007E3251">
      <w:pPr>
        <w:ind w:left="708"/>
        <w:rPr>
          <w:b/>
          <w:bCs/>
        </w:rPr>
      </w:pPr>
      <w:r>
        <w:rPr>
          <w:b/>
          <w:bCs/>
        </w:rPr>
        <w:t>Plataforma de registro y análisis de objetivos de desarrollo sostenible</w:t>
      </w:r>
    </w:p>
    <w:p w14:paraId="002D5AD5" w14:textId="77777777" w:rsidR="00B03C82" w:rsidRPr="00B03C82" w:rsidRDefault="007E3251" w:rsidP="00B03C82">
      <w:pPr>
        <w:ind w:left="708"/>
        <w:jc w:val="both"/>
      </w:pPr>
      <w:r w:rsidRPr="00B03C82">
        <w:t xml:space="preserve">La plataforma de registro de iniciativas de vinculación con el medio relaciona las iniciativas con los objetivos de desarrollo sostenible a través de un algoritmo que permite identificar conceptos o frases claves con uno o más de los 17 objetivos de Desarrollo Sostenible de la Agenda 2030. </w:t>
      </w:r>
    </w:p>
    <w:p w14:paraId="5F3AEF5A" w14:textId="77777777" w:rsidR="00B03C82" w:rsidRPr="00B03C82" w:rsidRDefault="00B03C82" w:rsidP="00B03C82">
      <w:pPr>
        <w:ind w:left="708"/>
        <w:jc w:val="both"/>
      </w:pPr>
    </w:p>
    <w:p w14:paraId="344916B8" w14:textId="11FBE08D" w:rsidR="00B03C82" w:rsidRDefault="007E3251" w:rsidP="00B03C82">
      <w:pPr>
        <w:ind w:left="708"/>
        <w:jc w:val="both"/>
      </w:pPr>
      <w:r w:rsidRPr="00B03C82">
        <w:t xml:space="preserve">El algoritmo esta confeccionado en el lenguaje de programación “Python”. Su nivel de asertividad actual es cercano al 75%, frente a lo que se realizan verificaciones y correcciones aleatorias, para alimentarlo debidamente e ir entrenándolo para que sea capaz de asociar también metas relacionadas con cada ODS. </w:t>
      </w:r>
    </w:p>
    <w:p w14:paraId="06E2306E" w14:textId="2E68B012" w:rsidR="00B03C82" w:rsidRDefault="00B03C82" w:rsidP="00B03C82">
      <w:pPr>
        <w:ind w:left="708"/>
        <w:jc w:val="both"/>
      </w:pPr>
    </w:p>
    <w:p w14:paraId="2034E1BA" w14:textId="77777777" w:rsidR="00B03C82" w:rsidRPr="00B03C82" w:rsidRDefault="00B03C82" w:rsidP="00B03C82">
      <w:pPr>
        <w:ind w:left="708"/>
        <w:jc w:val="both"/>
        <w:rPr>
          <w:b/>
          <w:bCs/>
        </w:rPr>
      </w:pPr>
      <w:r w:rsidRPr="00B03C82">
        <w:rPr>
          <w:b/>
          <w:bCs/>
        </w:rPr>
        <w:t>Resultados preliminares</w:t>
      </w:r>
    </w:p>
    <w:p w14:paraId="295EB185" w14:textId="53312A69" w:rsidR="009135AA" w:rsidRDefault="009135AA" w:rsidP="00B03C82">
      <w:pPr>
        <w:ind w:left="708"/>
        <w:jc w:val="both"/>
      </w:pPr>
      <w:r>
        <w:t xml:space="preserve">Desde 2018 la fecha, la plataforma registra 4270 iniciativas de vinculación con el medio, de las cuales 1470 se encuentran relacionadas con al menos 1 objetivo de desarrollo sostenible. En términos generales, la contribución de la institución a los objetivos de desarrollo sostenible se hace a través de 13 objetivos: </w:t>
      </w:r>
    </w:p>
    <w:p w14:paraId="30CCFB28" w14:textId="77777777" w:rsidR="009135AA" w:rsidRDefault="009135AA" w:rsidP="00B03C82">
      <w:pPr>
        <w:ind w:left="708"/>
      </w:pPr>
      <w:r>
        <w:t>•</w:t>
      </w:r>
      <w:r>
        <w:tab/>
        <w:t>Alianzas para lograr los objetivos</w:t>
      </w:r>
    </w:p>
    <w:p w14:paraId="42CBFE14" w14:textId="77777777" w:rsidR="009135AA" w:rsidRDefault="009135AA" w:rsidP="00B03C82">
      <w:pPr>
        <w:ind w:left="708"/>
      </w:pPr>
      <w:r>
        <w:t>•</w:t>
      </w:r>
      <w:r>
        <w:tab/>
        <w:t>Ciudades sostenibles</w:t>
      </w:r>
    </w:p>
    <w:p w14:paraId="26DF2939" w14:textId="77777777" w:rsidR="009135AA" w:rsidRDefault="009135AA" w:rsidP="00B03C82">
      <w:pPr>
        <w:ind w:left="708"/>
      </w:pPr>
      <w:r>
        <w:t>•</w:t>
      </w:r>
      <w:r>
        <w:tab/>
        <w:t>Educación de calidad</w:t>
      </w:r>
    </w:p>
    <w:p w14:paraId="5A3D2F05" w14:textId="77777777" w:rsidR="009135AA" w:rsidRDefault="009135AA" w:rsidP="00B03C82">
      <w:pPr>
        <w:ind w:left="708"/>
      </w:pPr>
      <w:r>
        <w:t>•</w:t>
      </w:r>
      <w:r>
        <w:tab/>
        <w:t>Fin de la pobreza</w:t>
      </w:r>
    </w:p>
    <w:p w14:paraId="7841BF4F" w14:textId="77777777" w:rsidR="009135AA" w:rsidRDefault="009135AA" w:rsidP="00B03C82">
      <w:pPr>
        <w:ind w:left="708"/>
      </w:pPr>
      <w:r>
        <w:t>•</w:t>
      </w:r>
      <w:r>
        <w:tab/>
        <w:t>Hambre cero</w:t>
      </w:r>
    </w:p>
    <w:p w14:paraId="0D553A81" w14:textId="77777777" w:rsidR="009135AA" w:rsidRDefault="009135AA" w:rsidP="00B03C82">
      <w:pPr>
        <w:ind w:left="708"/>
      </w:pPr>
      <w:r>
        <w:t>•</w:t>
      </w:r>
      <w:r>
        <w:tab/>
        <w:t>Paz, justicia e instituciones sólidas</w:t>
      </w:r>
    </w:p>
    <w:p w14:paraId="19B223A2" w14:textId="77777777" w:rsidR="009135AA" w:rsidRDefault="009135AA" w:rsidP="00B03C82">
      <w:pPr>
        <w:ind w:left="708"/>
      </w:pPr>
      <w:r>
        <w:t>•</w:t>
      </w:r>
      <w:r>
        <w:tab/>
        <w:t>Producción y consumo responsable</w:t>
      </w:r>
    </w:p>
    <w:p w14:paraId="620DBD3D" w14:textId="77777777" w:rsidR="009135AA" w:rsidRDefault="009135AA" w:rsidP="00B03C82">
      <w:pPr>
        <w:ind w:left="708"/>
      </w:pPr>
      <w:r>
        <w:t>•</w:t>
      </w:r>
      <w:r>
        <w:tab/>
        <w:t>Reducción de las desigualdades</w:t>
      </w:r>
    </w:p>
    <w:p w14:paraId="4421C0A0" w14:textId="77777777" w:rsidR="009135AA" w:rsidRDefault="009135AA" w:rsidP="00B03C82">
      <w:pPr>
        <w:ind w:left="708"/>
      </w:pPr>
      <w:r>
        <w:t>•</w:t>
      </w:r>
      <w:r>
        <w:tab/>
        <w:t>Salud y bienestar</w:t>
      </w:r>
    </w:p>
    <w:p w14:paraId="5DE79071" w14:textId="77777777" w:rsidR="009135AA" w:rsidRDefault="009135AA" w:rsidP="00B03C82">
      <w:pPr>
        <w:ind w:left="708"/>
      </w:pPr>
      <w:r>
        <w:t>•</w:t>
      </w:r>
      <w:r>
        <w:tab/>
        <w:t>Trabajo decente y crecimiento económico</w:t>
      </w:r>
    </w:p>
    <w:p w14:paraId="179D227C" w14:textId="77777777" w:rsidR="009135AA" w:rsidRDefault="009135AA" w:rsidP="00B03C82">
      <w:pPr>
        <w:ind w:left="708"/>
      </w:pPr>
      <w:r>
        <w:lastRenderedPageBreak/>
        <w:t>•</w:t>
      </w:r>
      <w:r>
        <w:tab/>
        <w:t>Alianzas para lograr los objetivos</w:t>
      </w:r>
    </w:p>
    <w:p w14:paraId="0240A3F3" w14:textId="77777777" w:rsidR="009135AA" w:rsidRDefault="009135AA" w:rsidP="00B03C82">
      <w:pPr>
        <w:ind w:left="708"/>
      </w:pPr>
      <w:r>
        <w:t>•</w:t>
      </w:r>
      <w:r>
        <w:tab/>
        <w:t>Agua limpia y saneamiento</w:t>
      </w:r>
    </w:p>
    <w:p w14:paraId="41670DE2" w14:textId="31A26EFE" w:rsidR="00B03C82" w:rsidRDefault="009135AA" w:rsidP="00B03C82">
      <w:pPr>
        <w:ind w:left="708"/>
      </w:pPr>
      <w:r>
        <w:t>•</w:t>
      </w:r>
      <w:r>
        <w:tab/>
        <w:t>Igualdad de género</w:t>
      </w:r>
    </w:p>
    <w:p w14:paraId="3F88DEFD" w14:textId="00DF6C27" w:rsidR="00AE6513" w:rsidRDefault="00AE6513" w:rsidP="00B03C82">
      <w:pPr>
        <w:ind w:left="708"/>
      </w:pPr>
    </w:p>
    <w:p w14:paraId="1644B849" w14:textId="3F2B5188" w:rsidR="00AE6513" w:rsidRDefault="00AE6513" w:rsidP="00B03C82">
      <w:pPr>
        <w:ind w:left="708"/>
      </w:pPr>
      <w:r>
        <w:t>Para la serie de tiempo en análisis se observa un aumento sostenido en las iniciativas de vinculación con el medio así como de tributación a objetivos de desarrollo sostenible.</w:t>
      </w:r>
    </w:p>
    <w:p w14:paraId="0A1AF324" w14:textId="77777777" w:rsidR="00B03C82" w:rsidRDefault="00B03C82" w:rsidP="00B03C82">
      <w:pPr>
        <w:ind w:left="708"/>
      </w:pPr>
    </w:p>
    <w:p w14:paraId="61C4F202" w14:textId="4612E348" w:rsidR="009135AA" w:rsidRDefault="009135AA" w:rsidP="00B03C82">
      <w:pPr>
        <w:ind w:left="708"/>
      </w:pPr>
      <w:r>
        <w:t>Adicionalmente, se observa</w:t>
      </w:r>
      <w:r w:rsidR="00B03C82">
        <w:t xml:space="preserve"> que el despliegue territorial de las iniciativas de vinculación con el medio alcanza 149 comunas del país. </w:t>
      </w:r>
    </w:p>
    <w:p w14:paraId="46A04EBE" w14:textId="77777777" w:rsidR="00B03C82" w:rsidRDefault="00B03C82"/>
    <w:p w14:paraId="48010B29" w14:textId="5DA60F28" w:rsidR="00824034" w:rsidRPr="009135AA" w:rsidRDefault="00F1003C">
      <w:pPr>
        <w:rPr>
          <w:b/>
          <w:bCs/>
        </w:rPr>
      </w:pPr>
      <w:r w:rsidRPr="009135AA">
        <w:rPr>
          <w:b/>
          <w:bCs/>
        </w:rPr>
        <w:t>Conclusión</w:t>
      </w:r>
    </w:p>
    <w:p w14:paraId="22BF818F" w14:textId="3E8E7E57" w:rsidR="00824034" w:rsidRDefault="00824034" w:rsidP="009135AA">
      <w:pPr>
        <w:jc w:val="both"/>
      </w:pPr>
      <w:r>
        <w:t xml:space="preserve">La ponencia destaca el uso de sistemas de gestión de información para </w:t>
      </w:r>
      <w:r w:rsidR="009135AA">
        <w:t>obtener datos que enriquezcan el proceso de vinculación con el medio. Frente a esto, las principales conclusiones de la ponencia son:</w:t>
      </w:r>
    </w:p>
    <w:p w14:paraId="7B91A432" w14:textId="4967461B" w:rsidR="009135AA" w:rsidRDefault="009135AA" w:rsidP="009135AA">
      <w:pPr>
        <w:pStyle w:val="Prrafodelista"/>
        <w:numPr>
          <w:ilvl w:val="0"/>
          <w:numId w:val="10"/>
        </w:numPr>
        <w:jc w:val="both"/>
      </w:pPr>
      <w:r>
        <w:t>Relevar la importancia del registro y medición de iniciativas de vinculación con el medio,</w:t>
      </w:r>
      <w:r w:rsidR="00AE6513">
        <w:t xml:space="preserve"> porque permite sistematizar información y generar análisis complejos, así como orientar la toma de decisiones</w:t>
      </w:r>
    </w:p>
    <w:p w14:paraId="6FC01525" w14:textId="5179DA93" w:rsidR="009135AA" w:rsidRDefault="009135AA" w:rsidP="009135AA">
      <w:pPr>
        <w:pStyle w:val="Prrafodelista"/>
        <w:numPr>
          <w:ilvl w:val="0"/>
          <w:numId w:val="10"/>
        </w:numPr>
        <w:jc w:val="both"/>
      </w:pPr>
      <w:r>
        <w:t>Integrar el componente territorial en el análisis de vinculación con el medio,</w:t>
      </w:r>
      <w:r w:rsidR="00AE6513">
        <w:t xml:space="preserve"> porque permite establecer criterios para el despliegue de iniciativas, así como analizar impactos no observados</w:t>
      </w:r>
    </w:p>
    <w:p w14:paraId="56F7DF6F" w14:textId="4BBD56F3" w:rsidR="009135AA" w:rsidRDefault="009135AA" w:rsidP="009135AA">
      <w:pPr>
        <w:pStyle w:val="Prrafodelista"/>
        <w:numPr>
          <w:ilvl w:val="0"/>
          <w:numId w:val="10"/>
        </w:numPr>
        <w:jc w:val="both"/>
      </w:pPr>
      <w:r>
        <w:t>Considerar nuevos mecanismos para aproximarse a la contribución e impacto de la vinculación con el medio</w:t>
      </w:r>
      <w:r w:rsidR="00AE6513">
        <w:t>, porque facilita el análisis y ofrece oportunidades de colaboración entre instituciones</w:t>
      </w:r>
    </w:p>
    <w:p w14:paraId="6EB2C04D" w14:textId="6497E112" w:rsidR="00824034" w:rsidRDefault="009135AA" w:rsidP="009135AA">
      <w:pPr>
        <w:pStyle w:val="Prrafodelista"/>
        <w:numPr>
          <w:ilvl w:val="0"/>
          <w:numId w:val="10"/>
        </w:numPr>
        <w:jc w:val="both"/>
      </w:pPr>
      <w:r>
        <w:t>Incluir los objetivos de desarrollo sostenible como marco de referencia o parámetro de comparación</w:t>
      </w:r>
      <w:r w:rsidR="00AE6513">
        <w:t>, porque orientan las discusiones y facilitan el entendimiento entre diversos actores</w:t>
      </w:r>
    </w:p>
    <w:p w14:paraId="21EB27DE" w14:textId="2FD9A3AD" w:rsidR="00F1003C" w:rsidRPr="00824034" w:rsidRDefault="00F1003C">
      <w:pPr>
        <w:rPr>
          <w:b/>
          <w:bCs/>
        </w:rPr>
      </w:pPr>
      <w:r w:rsidRPr="00824034">
        <w:rPr>
          <w:b/>
          <w:bCs/>
        </w:rPr>
        <w:t>Desafíos futuros</w:t>
      </w:r>
    </w:p>
    <w:p w14:paraId="4B68E629" w14:textId="0F24C49A" w:rsidR="00824034" w:rsidRDefault="00824034" w:rsidP="00824034">
      <w:pPr>
        <w:jc w:val="both"/>
      </w:pPr>
      <w:r>
        <w:t>La ponencia plantea desafíos a futuro en términos de calidad de los registros de información para asegurar niveles de confiabilidad en la programación algorítmica. Esto supone un trabajo en conjunto con las personas encargadas de registrar iniciativas de vinculación con el medio.</w:t>
      </w:r>
    </w:p>
    <w:p w14:paraId="09CE0034" w14:textId="77777777" w:rsidR="00824034" w:rsidRDefault="00824034"/>
    <w:p w14:paraId="21817A87" w14:textId="0A67493D" w:rsidR="009B71AC" w:rsidRPr="009B71AC" w:rsidRDefault="00F1003C">
      <w:pPr>
        <w:rPr>
          <w:b/>
          <w:bCs/>
        </w:rPr>
      </w:pPr>
      <w:r w:rsidRPr="009B71AC">
        <w:rPr>
          <w:b/>
          <w:bCs/>
        </w:rPr>
        <w:t>Referencias</w:t>
      </w:r>
    </w:p>
    <w:p w14:paraId="0A834492" w14:textId="77777777" w:rsidR="009B71AC" w:rsidRDefault="009B71AC" w:rsidP="009B71AC">
      <w:pPr>
        <w:numPr>
          <w:ilvl w:val="0"/>
          <w:numId w:val="12"/>
        </w:numPr>
        <w:textAlignment w:val="baseline"/>
      </w:pPr>
      <w:r w:rsidRPr="009B71AC">
        <w:t>Chacón, R. M., Montbrun, N., &amp; Rastelli, V. (2009). La educación para la sostenibilidad: Rol de las universidades. Argos, 26(50), 50–74</w:t>
      </w:r>
      <w:r>
        <w:t>.</w:t>
      </w:r>
    </w:p>
    <w:p w14:paraId="68EA4DC2" w14:textId="77777777" w:rsidR="009B71AC" w:rsidRPr="009B71AC" w:rsidRDefault="009B71AC" w:rsidP="009B71AC">
      <w:pPr>
        <w:pStyle w:val="Prrafodelista"/>
        <w:numPr>
          <w:ilvl w:val="0"/>
          <w:numId w:val="12"/>
        </w:numPr>
        <w:rPr>
          <w:lang w:eastAsia="en-US"/>
        </w:rPr>
      </w:pPr>
      <w:r w:rsidRPr="009B71AC">
        <w:rPr>
          <w:lang w:eastAsia="en-US"/>
        </w:rPr>
        <w:t>Comisión Económica para América Latina y el Caribe (CEPAL). (2021). Construir un futuro mejor: acciones para fortalecer la Agenda 2030 para el Desarrollo Sostenible.</w:t>
      </w:r>
    </w:p>
    <w:p w14:paraId="7FB5F892" w14:textId="77777777" w:rsidR="009B71AC" w:rsidRDefault="009B71AC" w:rsidP="009B71AC">
      <w:pPr>
        <w:numPr>
          <w:ilvl w:val="0"/>
          <w:numId w:val="12"/>
        </w:numPr>
        <w:textAlignment w:val="baseline"/>
      </w:pPr>
      <w:r>
        <w:t xml:space="preserve">De La Poza, E., Merello, P., Barberá, A., y Celani, A., Universities’ reporting on SDGs: Using the impact rankings to model and measure their contribution to sustainability, Sustainability (Switzerland), 13(4), 1-30 (2021). </w:t>
      </w:r>
    </w:p>
    <w:p w14:paraId="4711B472" w14:textId="77777777" w:rsidR="009B71AC" w:rsidRPr="009B71AC" w:rsidRDefault="009B71AC" w:rsidP="009B71AC">
      <w:pPr>
        <w:pStyle w:val="bibliografia"/>
        <w:numPr>
          <w:ilvl w:val="0"/>
          <w:numId w:val="12"/>
        </w:numPr>
        <w:shd w:val="clear" w:color="auto" w:fill="FFFFFF"/>
        <w:jc w:val="both"/>
        <w:rPr>
          <w:rFonts w:ascii="Calibri" w:eastAsiaTheme="minorHAnsi" w:hAnsi="Calibri" w:cs="Calibri"/>
          <w:sz w:val="22"/>
          <w:szCs w:val="22"/>
          <w:lang w:eastAsia="en-US"/>
        </w:rPr>
      </w:pPr>
      <w:r w:rsidRPr="009B71AC">
        <w:rPr>
          <w:rFonts w:ascii="Calibri" w:eastAsiaTheme="minorHAnsi" w:hAnsi="Calibri" w:cs="Calibri"/>
          <w:sz w:val="22"/>
          <w:szCs w:val="22"/>
          <w:lang w:eastAsia="en-US"/>
        </w:rPr>
        <w:t>Durand, P., &amp; Gerabert, C. (2020). Aportes de los Objetivos de Desarrollo Sostenible para una agricultura sustentable en la Argentina: una mirada social desde la universidad. Buenos Aires: Facultad De Agronomía.</w:t>
      </w:r>
    </w:p>
    <w:p w14:paraId="0D44622B" w14:textId="77777777" w:rsidR="009B71AC" w:rsidRPr="009B71AC" w:rsidRDefault="009B71AC" w:rsidP="009B71AC">
      <w:pPr>
        <w:numPr>
          <w:ilvl w:val="0"/>
          <w:numId w:val="12"/>
        </w:numPr>
        <w:textAlignment w:val="baseline"/>
      </w:pPr>
      <w:r w:rsidRPr="009B71AC">
        <w:t>Echeverri, Rafael. Reflexiones sobre lo rural: economía rural, economía de territorios. En: DIRVEN, Martine, et al. Hacia una nueva definición de «rural» con fines estadísticos en América Latina. Santiago, CEPAL. 2011. P. 13-20.</w:t>
      </w:r>
    </w:p>
    <w:p w14:paraId="1376D38E" w14:textId="77777777" w:rsidR="009B71AC" w:rsidRDefault="009B71AC" w:rsidP="009B71AC">
      <w:pPr>
        <w:numPr>
          <w:ilvl w:val="0"/>
          <w:numId w:val="12"/>
        </w:numPr>
        <w:textAlignment w:val="baseline"/>
      </w:pPr>
      <w:r>
        <w:lastRenderedPageBreak/>
        <w:t xml:space="preserve">Eckel, P., Green, M., Hill, B., y Mallon, W., On Change III: Taking Charge of Change: A Primer for Colleges and Universities. An Occasional Paper Series of the ACE Project on Leadership and Institutional Transformation, American Council on Education, Washington, DC, USA (1999). </w:t>
      </w:r>
    </w:p>
    <w:p w14:paraId="509EB072" w14:textId="77777777" w:rsidR="009B71AC" w:rsidRPr="009B71AC" w:rsidRDefault="009B71AC" w:rsidP="009B71AC">
      <w:pPr>
        <w:numPr>
          <w:ilvl w:val="0"/>
          <w:numId w:val="12"/>
        </w:numPr>
        <w:textAlignment w:val="baseline"/>
      </w:pPr>
      <w:r>
        <w:t>Elmassah, S., Biltagy, M., y Gamal, D., Framing the role of higher education in sustainable development: a case study analysis, International Journal of Sustainability in Higher Education, https://doi.org/10.1108/ijshe-05-2020-0164, (2021)</w:t>
      </w:r>
    </w:p>
    <w:p w14:paraId="72E3F8A7" w14:textId="77777777" w:rsidR="009B71AC" w:rsidRPr="009B71AC" w:rsidRDefault="009B71AC" w:rsidP="009B71AC">
      <w:pPr>
        <w:numPr>
          <w:ilvl w:val="0"/>
          <w:numId w:val="12"/>
        </w:numPr>
        <w:textAlignment w:val="baseline"/>
      </w:pPr>
      <w:r w:rsidRPr="009B71AC">
        <w:t>Fuster, Xenia. (2016). La histórica deuda de las políticas sociales: pertinencia territorial.: El caso del programa habitabilidad, Chile. Revista INVI, 31(86), 61-88</w:t>
      </w:r>
      <w:r w:rsidRPr="009B71AC">
        <w:t>.</w:t>
      </w:r>
    </w:p>
    <w:p w14:paraId="07AF747B" w14:textId="77777777" w:rsidR="009B71AC" w:rsidRPr="009B71AC" w:rsidRDefault="009B71AC" w:rsidP="009B71AC">
      <w:pPr>
        <w:pStyle w:val="bibliografia"/>
        <w:numPr>
          <w:ilvl w:val="0"/>
          <w:numId w:val="12"/>
        </w:numPr>
        <w:shd w:val="clear" w:color="auto" w:fill="FFFFFF"/>
        <w:jc w:val="both"/>
        <w:rPr>
          <w:rFonts w:ascii="Calibri" w:eastAsiaTheme="minorHAnsi" w:hAnsi="Calibri" w:cs="Calibri"/>
          <w:sz w:val="22"/>
          <w:szCs w:val="22"/>
          <w:lang w:eastAsia="en-US"/>
        </w:rPr>
      </w:pPr>
      <w:r w:rsidRPr="009B71AC">
        <w:rPr>
          <w:rFonts w:ascii="Calibri" w:eastAsiaTheme="minorHAnsi" w:hAnsi="Calibri" w:cs="Calibri"/>
          <w:sz w:val="22"/>
          <w:szCs w:val="22"/>
          <w:lang w:eastAsia="en-US"/>
        </w:rPr>
        <w:t>Naciones Unidas. (2015). Transformar nuestro mundo: la Agenda 2030 para el Desarrollo Sostenible.</w:t>
      </w:r>
    </w:p>
    <w:p w14:paraId="711455BE" w14:textId="77777777" w:rsidR="009B71AC" w:rsidRPr="009B71AC" w:rsidRDefault="009B71AC" w:rsidP="009B71AC">
      <w:pPr>
        <w:pStyle w:val="bibliografia"/>
        <w:numPr>
          <w:ilvl w:val="0"/>
          <w:numId w:val="12"/>
        </w:numPr>
        <w:shd w:val="clear" w:color="auto" w:fill="FFFFFF"/>
        <w:jc w:val="both"/>
        <w:rPr>
          <w:rFonts w:ascii="Calibri" w:eastAsiaTheme="minorHAnsi" w:hAnsi="Calibri" w:cs="Calibri"/>
          <w:sz w:val="22"/>
          <w:szCs w:val="22"/>
          <w:lang w:eastAsia="en-US"/>
        </w:rPr>
      </w:pPr>
      <w:r w:rsidRPr="009B71AC">
        <w:rPr>
          <w:rFonts w:ascii="Calibri" w:eastAsiaTheme="minorHAnsi" w:hAnsi="Calibri" w:cs="Calibri"/>
          <w:sz w:val="22"/>
          <w:szCs w:val="22"/>
          <w:lang w:eastAsia="en-US"/>
        </w:rPr>
        <w:t>Naciones Unidas. (2018). La Agenda 2030 y sus Objetivos de Desarrollo Sostenible: una oportunidad para América Latina y el Caribe. Santiago: Naciones Unidas</w:t>
      </w:r>
    </w:p>
    <w:p w14:paraId="50348C51" w14:textId="77777777" w:rsidR="009B71AC" w:rsidRDefault="009B71AC" w:rsidP="009B71AC">
      <w:pPr>
        <w:pStyle w:val="bibliografia"/>
        <w:numPr>
          <w:ilvl w:val="0"/>
          <w:numId w:val="12"/>
        </w:numPr>
        <w:shd w:val="clear" w:color="auto" w:fill="FFFFFF"/>
        <w:jc w:val="both"/>
        <w:rPr>
          <w:rFonts w:ascii="Calibri" w:eastAsiaTheme="minorHAnsi" w:hAnsi="Calibri" w:cs="Calibri"/>
          <w:sz w:val="22"/>
          <w:szCs w:val="22"/>
          <w:lang w:eastAsia="en-US"/>
        </w:rPr>
      </w:pPr>
      <w:r w:rsidRPr="009B71AC">
        <w:rPr>
          <w:rFonts w:ascii="Calibri" w:eastAsiaTheme="minorHAnsi" w:hAnsi="Calibri" w:cs="Calibri"/>
          <w:sz w:val="22"/>
          <w:szCs w:val="22"/>
          <w:lang w:eastAsia="en-US"/>
        </w:rPr>
        <w:t>Organización de las Naciones Unidas para la Educación la Ciencia y la Cultura (UNESCO). (2018). Guía Abreviada de Indicadores de Educación para el ODS 4. En Instituto de Estadística de la UNESCO. Canadá.</w:t>
      </w:r>
      <w:r>
        <w:rPr>
          <w:rFonts w:ascii="Calibri" w:eastAsiaTheme="minorHAnsi" w:hAnsi="Calibri" w:cs="Calibri"/>
          <w:sz w:val="22"/>
          <w:szCs w:val="22"/>
          <w:lang w:eastAsia="en-US"/>
        </w:rPr>
        <w:t xml:space="preserve"> </w:t>
      </w:r>
    </w:p>
    <w:p w14:paraId="0AF7E5B5" w14:textId="77777777" w:rsidR="009B71AC" w:rsidRDefault="009B71AC" w:rsidP="009B71AC">
      <w:pPr>
        <w:numPr>
          <w:ilvl w:val="0"/>
          <w:numId w:val="12"/>
        </w:numPr>
        <w:textAlignment w:val="baseline"/>
      </w:pPr>
      <w:r w:rsidRPr="009B71AC">
        <w:t>Raczynski, D. (1995) Focalizacion de programas sociales: Lecciones de la experiencia chilena. In: Pizarro, C., Raczynski, D. and Vial, J., Eds., Politicas economicas y sociales en el Chile democratico, CIEPLAN-UNICEF, Santiago.</w:t>
      </w:r>
    </w:p>
    <w:p w14:paraId="633401E8" w14:textId="77777777" w:rsidR="009B71AC" w:rsidRPr="009B71AC" w:rsidRDefault="009B71AC" w:rsidP="009B71AC">
      <w:pPr>
        <w:numPr>
          <w:ilvl w:val="0"/>
          <w:numId w:val="12"/>
        </w:numPr>
        <w:textAlignment w:val="baseline"/>
      </w:pPr>
      <w:r w:rsidRPr="009B71AC">
        <w:t>Serrano, Claudia (2010). Política de desarrollo territorial en Chile. RIMISP – Centro Latinoamericano para el Desarrollo Rural</w:t>
      </w:r>
    </w:p>
    <w:p w14:paraId="4B249225" w14:textId="77777777" w:rsidR="009B71AC" w:rsidRDefault="009B71AC"/>
    <w:sectPr w:rsidR="009B71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938D4" w14:textId="77777777" w:rsidR="001D1E92" w:rsidRDefault="001D1E92" w:rsidP="00B03C82">
      <w:r>
        <w:separator/>
      </w:r>
    </w:p>
  </w:endnote>
  <w:endnote w:type="continuationSeparator" w:id="0">
    <w:p w14:paraId="5B3819F2" w14:textId="77777777" w:rsidR="001D1E92" w:rsidRDefault="001D1E92" w:rsidP="00B0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825F" w14:textId="77777777" w:rsidR="001D1E92" w:rsidRDefault="001D1E92" w:rsidP="00B03C82">
      <w:r>
        <w:separator/>
      </w:r>
    </w:p>
  </w:footnote>
  <w:footnote w:type="continuationSeparator" w:id="0">
    <w:p w14:paraId="6133CA14" w14:textId="77777777" w:rsidR="001D1E92" w:rsidRDefault="001D1E92" w:rsidP="00B03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022"/>
    <w:multiLevelType w:val="hybridMultilevel"/>
    <w:tmpl w:val="902A3672"/>
    <w:lvl w:ilvl="0" w:tplc="046E4366">
      <w:start w:val="1"/>
      <w:numFmt w:val="bullet"/>
      <w:lvlText w:val="•"/>
      <w:lvlJc w:val="left"/>
      <w:pPr>
        <w:tabs>
          <w:tab w:val="num" w:pos="720"/>
        </w:tabs>
        <w:ind w:left="720" w:hanging="360"/>
      </w:pPr>
      <w:rPr>
        <w:rFonts w:ascii="Arial" w:hAnsi="Arial" w:hint="default"/>
      </w:rPr>
    </w:lvl>
    <w:lvl w:ilvl="1" w:tplc="F4C2812C">
      <w:start w:val="1"/>
      <w:numFmt w:val="bullet"/>
      <w:lvlText w:val="•"/>
      <w:lvlJc w:val="left"/>
      <w:pPr>
        <w:tabs>
          <w:tab w:val="num" w:pos="1440"/>
        </w:tabs>
        <w:ind w:left="1440" w:hanging="360"/>
      </w:pPr>
      <w:rPr>
        <w:rFonts w:ascii="Arial" w:hAnsi="Arial" w:hint="default"/>
      </w:rPr>
    </w:lvl>
    <w:lvl w:ilvl="2" w:tplc="EF1460CA" w:tentative="1">
      <w:start w:val="1"/>
      <w:numFmt w:val="bullet"/>
      <w:lvlText w:val="•"/>
      <w:lvlJc w:val="left"/>
      <w:pPr>
        <w:tabs>
          <w:tab w:val="num" w:pos="2160"/>
        </w:tabs>
        <w:ind w:left="2160" w:hanging="360"/>
      </w:pPr>
      <w:rPr>
        <w:rFonts w:ascii="Arial" w:hAnsi="Arial" w:hint="default"/>
      </w:rPr>
    </w:lvl>
    <w:lvl w:ilvl="3" w:tplc="BE2C3068" w:tentative="1">
      <w:start w:val="1"/>
      <w:numFmt w:val="bullet"/>
      <w:lvlText w:val="•"/>
      <w:lvlJc w:val="left"/>
      <w:pPr>
        <w:tabs>
          <w:tab w:val="num" w:pos="2880"/>
        </w:tabs>
        <w:ind w:left="2880" w:hanging="360"/>
      </w:pPr>
      <w:rPr>
        <w:rFonts w:ascii="Arial" w:hAnsi="Arial" w:hint="default"/>
      </w:rPr>
    </w:lvl>
    <w:lvl w:ilvl="4" w:tplc="50125478" w:tentative="1">
      <w:start w:val="1"/>
      <w:numFmt w:val="bullet"/>
      <w:lvlText w:val="•"/>
      <w:lvlJc w:val="left"/>
      <w:pPr>
        <w:tabs>
          <w:tab w:val="num" w:pos="3600"/>
        </w:tabs>
        <w:ind w:left="3600" w:hanging="360"/>
      </w:pPr>
      <w:rPr>
        <w:rFonts w:ascii="Arial" w:hAnsi="Arial" w:hint="default"/>
      </w:rPr>
    </w:lvl>
    <w:lvl w:ilvl="5" w:tplc="F4FE6DF0" w:tentative="1">
      <w:start w:val="1"/>
      <w:numFmt w:val="bullet"/>
      <w:lvlText w:val="•"/>
      <w:lvlJc w:val="left"/>
      <w:pPr>
        <w:tabs>
          <w:tab w:val="num" w:pos="4320"/>
        </w:tabs>
        <w:ind w:left="4320" w:hanging="360"/>
      </w:pPr>
      <w:rPr>
        <w:rFonts w:ascii="Arial" w:hAnsi="Arial" w:hint="default"/>
      </w:rPr>
    </w:lvl>
    <w:lvl w:ilvl="6" w:tplc="F752A450" w:tentative="1">
      <w:start w:val="1"/>
      <w:numFmt w:val="bullet"/>
      <w:lvlText w:val="•"/>
      <w:lvlJc w:val="left"/>
      <w:pPr>
        <w:tabs>
          <w:tab w:val="num" w:pos="5040"/>
        </w:tabs>
        <w:ind w:left="5040" w:hanging="360"/>
      </w:pPr>
      <w:rPr>
        <w:rFonts w:ascii="Arial" w:hAnsi="Arial" w:hint="default"/>
      </w:rPr>
    </w:lvl>
    <w:lvl w:ilvl="7" w:tplc="3228983A" w:tentative="1">
      <w:start w:val="1"/>
      <w:numFmt w:val="bullet"/>
      <w:lvlText w:val="•"/>
      <w:lvlJc w:val="left"/>
      <w:pPr>
        <w:tabs>
          <w:tab w:val="num" w:pos="5760"/>
        </w:tabs>
        <w:ind w:left="5760" w:hanging="360"/>
      </w:pPr>
      <w:rPr>
        <w:rFonts w:ascii="Arial" w:hAnsi="Arial" w:hint="default"/>
      </w:rPr>
    </w:lvl>
    <w:lvl w:ilvl="8" w:tplc="5D6A1E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8A4E5B"/>
    <w:multiLevelType w:val="multilevel"/>
    <w:tmpl w:val="71BC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465A2"/>
    <w:multiLevelType w:val="hybridMultilevel"/>
    <w:tmpl w:val="8112F7F2"/>
    <w:lvl w:ilvl="0" w:tplc="83F25652">
      <w:start w:val="1"/>
      <w:numFmt w:val="bullet"/>
      <w:lvlText w:val="•"/>
      <w:lvlJc w:val="left"/>
      <w:pPr>
        <w:tabs>
          <w:tab w:val="num" w:pos="720"/>
        </w:tabs>
        <w:ind w:left="720" w:hanging="360"/>
      </w:pPr>
      <w:rPr>
        <w:rFonts w:ascii="Arial" w:hAnsi="Arial" w:hint="default"/>
      </w:rPr>
    </w:lvl>
    <w:lvl w:ilvl="1" w:tplc="F370C0D2">
      <w:start w:val="1"/>
      <w:numFmt w:val="bullet"/>
      <w:lvlText w:val="•"/>
      <w:lvlJc w:val="left"/>
      <w:pPr>
        <w:tabs>
          <w:tab w:val="num" w:pos="1440"/>
        </w:tabs>
        <w:ind w:left="1440" w:hanging="360"/>
      </w:pPr>
      <w:rPr>
        <w:rFonts w:ascii="Arial" w:hAnsi="Arial" w:hint="default"/>
      </w:rPr>
    </w:lvl>
    <w:lvl w:ilvl="2" w:tplc="BAF84BA8" w:tentative="1">
      <w:start w:val="1"/>
      <w:numFmt w:val="bullet"/>
      <w:lvlText w:val="•"/>
      <w:lvlJc w:val="left"/>
      <w:pPr>
        <w:tabs>
          <w:tab w:val="num" w:pos="2160"/>
        </w:tabs>
        <w:ind w:left="2160" w:hanging="360"/>
      </w:pPr>
      <w:rPr>
        <w:rFonts w:ascii="Arial" w:hAnsi="Arial" w:hint="default"/>
      </w:rPr>
    </w:lvl>
    <w:lvl w:ilvl="3" w:tplc="F9E8ED42" w:tentative="1">
      <w:start w:val="1"/>
      <w:numFmt w:val="bullet"/>
      <w:lvlText w:val="•"/>
      <w:lvlJc w:val="left"/>
      <w:pPr>
        <w:tabs>
          <w:tab w:val="num" w:pos="2880"/>
        </w:tabs>
        <w:ind w:left="2880" w:hanging="360"/>
      </w:pPr>
      <w:rPr>
        <w:rFonts w:ascii="Arial" w:hAnsi="Arial" w:hint="default"/>
      </w:rPr>
    </w:lvl>
    <w:lvl w:ilvl="4" w:tplc="B7502352" w:tentative="1">
      <w:start w:val="1"/>
      <w:numFmt w:val="bullet"/>
      <w:lvlText w:val="•"/>
      <w:lvlJc w:val="left"/>
      <w:pPr>
        <w:tabs>
          <w:tab w:val="num" w:pos="3600"/>
        </w:tabs>
        <w:ind w:left="3600" w:hanging="360"/>
      </w:pPr>
      <w:rPr>
        <w:rFonts w:ascii="Arial" w:hAnsi="Arial" w:hint="default"/>
      </w:rPr>
    </w:lvl>
    <w:lvl w:ilvl="5" w:tplc="72CC6AF0" w:tentative="1">
      <w:start w:val="1"/>
      <w:numFmt w:val="bullet"/>
      <w:lvlText w:val="•"/>
      <w:lvlJc w:val="left"/>
      <w:pPr>
        <w:tabs>
          <w:tab w:val="num" w:pos="4320"/>
        </w:tabs>
        <w:ind w:left="4320" w:hanging="360"/>
      </w:pPr>
      <w:rPr>
        <w:rFonts w:ascii="Arial" w:hAnsi="Arial" w:hint="default"/>
      </w:rPr>
    </w:lvl>
    <w:lvl w:ilvl="6" w:tplc="D7EAD4F0" w:tentative="1">
      <w:start w:val="1"/>
      <w:numFmt w:val="bullet"/>
      <w:lvlText w:val="•"/>
      <w:lvlJc w:val="left"/>
      <w:pPr>
        <w:tabs>
          <w:tab w:val="num" w:pos="5040"/>
        </w:tabs>
        <w:ind w:left="5040" w:hanging="360"/>
      </w:pPr>
      <w:rPr>
        <w:rFonts w:ascii="Arial" w:hAnsi="Arial" w:hint="default"/>
      </w:rPr>
    </w:lvl>
    <w:lvl w:ilvl="7" w:tplc="B5EEEA72" w:tentative="1">
      <w:start w:val="1"/>
      <w:numFmt w:val="bullet"/>
      <w:lvlText w:val="•"/>
      <w:lvlJc w:val="left"/>
      <w:pPr>
        <w:tabs>
          <w:tab w:val="num" w:pos="5760"/>
        </w:tabs>
        <w:ind w:left="5760" w:hanging="360"/>
      </w:pPr>
      <w:rPr>
        <w:rFonts w:ascii="Arial" w:hAnsi="Arial" w:hint="default"/>
      </w:rPr>
    </w:lvl>
    <w:lvl w:ilvl="8" w:tplc="C27CA8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D30BB5"/>
    <w:multiLevelType w:val="multilevel"/>
    <w:tmpl w:val="7B0AA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B1790F"/>
    <w:multiLevelType w:val="multilevel"/>
    <w:tmpl w:val="0FCAF4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5F26A60"/>
    <w:multiLevelType w:val="multilevel"/>
    <w:tmpl w:val="602E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EE2BFB"/>
    <w:multiLevelType w:val="hybridMultilevel"/>
    <w:tmpl w:val="E74AC3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10D7DA1"/>
    <w:multiLevelType w:val="multilevel"/>
    <w:tmpl w:val="948A1A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2E65D1"/>
    <w:multiLevelType w:val="hybridMultilevel"/>
    <w:tmpl w:val="BC4086DC"/>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9" w15:restartNumberingAfterBreak="0">
    <w:nsid w:val="50772922"/>
    <w:multiLevelType w:val="hybridMultilevel"/>
    <w:tmpl w:val="88C6BF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68F7C60"/>
    <w:multiLevelType w:val="hybridMultilevel"/>
    <w:tmpl w:val="C09C9224"/>
    <w:lvl w:ilvl="0" w:tplc="3A7AE88C">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CB43A6D"/>
    <w:multiLevelType w:val="hybridMultilevel"/>
    <w:tmpl w:val="5156A168"/>
    <w:lvl w:ilvl="0" w:tplc="A076385C">
      <w:start w:val="1"/>
      <w:numFmt w:val="bullet"/>
      <w:lvlText w:val="•"/>
      <w:lvlJc w:val="left"/>
      <w:pPr>
        <w:tabs>
          <w:tab w:val="num" w:pos="720"/>
        </w:tabs>
        <w:ind w:left="720" w:hanging="360"/>
      </w:pPr>
      <w:rPr>
        <w:rFonts w:ascii="Arial" w:hAnsi="Arial" w:hint="default"/>
      </w:rPr>
    </w:lvl>
    <w:lvl w:ilvl="1" w:tplc="A8041738">
      <w:start w:val="1"/>
      <w:numFmt w:val="bullet"/>
      <w:lvlText w:val="•"/>
      <w:lvlJc w:val="left"/>
      <w:pPr>
        <w:tabs>
          <w:tab w:val="num" w:pos="1440"/>
        </w:tabs>
        <w:ind w:left="1440" w:hanging="360"/>
      </w:pPr>
      <w:rPr>
        <w:rFonts w:ascii="Arial" w:hAnsi="Arial" w:hint="default"/>
      </w:rPr>
    </w:lvl>
    <w:lvl w:ilvl="2" w:tplc="423A3774" w:tentative="1">
      <w:start w:val="1"/>
      <w:numFmt w:val="bullet"/>
      <w:lvlText w:val="•"/>
      <w:lvlJc w:val="left"/>
      <w:pPr>
        <w:tabs>
          <w:tab w:val="num" w:pos="2160"/>
        </w:tabs>
        <w:ind w:left="2160" w:hanging="360"/>
      </w:pPr>
      <w:rPr>
        <w:rFonts w:ascii="Arial" w:hAnsi="Arial" w:hint="default"/>
      </w:rPr>
    </w:lvl>
    <w:lvl w:ilvl="3" w:tplc="E6DAB94C" w:tentative="1">
      <w:start w:val="1"/>
      <w:numFmt w:val="bullet"/>
      <w:lvlText w:val="•"/>
      <w:lvlJc w:val="left"/>
      <w:pPr>
        <w:tabs>
          <w:tab w:val="num" w:pos="2880"/>
        </w:tabs>
        <w:ind w:left="2880" w:hanging="360"/>
      </w:pPr>
      <w:rPr>
        <w:rFonts w:ascii="Arial" w:hAnsi="Arial" w:hint="default"/>
      </w:rPr>
    </w:lvl>
    <w:lvl w:ilvl="4" w:tplc="492A5B2C" w:tentative="1">
      <w:start w:val="1"/>
      <w:numFmt w:val="bullet"/>
      <w:lvlText w:val="•"/>
      <w:lvlJc w:val="left"/>
      <w:pPr>
        <w:tabs>
          <w:tab w:val="num" w:pos="3600"/>
        </w:tabs>
        <w:ind w:left="3600" w:hanging="360"/>
      </w:pPr>
      <w:rPr>
        <w:rFonts w:ascii="Arial" w:hAnsi="Arial" w:hint="default"/>
      </w:rPr>
    </w:lvl>
    <w:lvl w:ilvl="5" w:tplc="FFF020BC" w:tentative="1">
      <w:start w:val="1"/>
      <w:numFmt w:val="bullet"/>
      <w:lvlText w:val="•"/>
      <w:lvlJc w:val="left"/>
      <w:pPr>
        <w:tabs>
          <w:tab w:val="num" w:pos="4320"/>
        </w:tabs>
        <w:ind w:left="4320" w:hanging="360"/>
      </w:pPr>
      <w:rPr>
        <w:rFonts w:ascii="Arial" w:hAnsi="Arial" w:hint="default"/>
      </w:rPr>
    </w:lvl>
    <w:lvl w:ilvl="6" w:tplc="4686FC66" w:tentative="1">
      <w:start w:val="1"/>
      <w:numFmt w:val="bullet"/>
      <w:lvlText w:val="•"/>
      <w:lvlJc w:val="left"/>
      <w:pPr>
        <w:tabs>
          <w:tab w:val="num" w:pos="5040"/>
        </w:tabs>
        <w:ind w:left="5040" w:hanging="360"/>
      </w:pPr>
      <w:rPr>
        <w:rFonts w:ascii="Arial" w:hAnsi="Arial" w:hint="default"/>
      </w:rPr>
    </w:lvl>
    <w:lvl w:ilvl="7" w:tplc="9DE01930" w:tentative="1">
      <w:start w:val="1"/>
      <w:numFmt w:val="bullet"/>
      <w:lvlText w:val="•"/>
      <w:lvlJc w:val="left"/>
      <w:pPr>
        <w:tabs>
          <w:tab w:val="num" w:pos="5760"/>
        </w:tabs>
        <w:ind w:left="5760" w:hanging="360"/>
      </w:pPr>
      <w:rPr>
        <w:rFonts w:ascii="Arial" w:hAnsi="Arial" w:hint="default"/>
      </w:rPr>
    </w:lvl>
    <w:lvl w:ilvl="8" w:tplc="CBF657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B0327E7"/>
    <w:multiLevelType w:val="hybridMultilevel"/>
    <w:tmpl w:val="F274E2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368484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31598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9680463">
    <w:abstractNumId w:val="7"/>
  </w:num>
  <w:num w:numId="4" w16cid:durableId="66921351">
    <w:abstractNumId w:val="11"/>
  </w:num>
  <w:num w:numId="5" w16cid:durableId="312220242">
    <w:abstractNumId w:val="12"/>
  </w:num>
  <w:num w:numId="6" w16cid:durableId="2020769329">
    <w:abstractNumId w:val="2"/>
  </w:num>
  <w:num w:numId="7" w16cid:durableId="550460282">
    <w:abstractNumId w:val="0"/>
  </w:num>
  <w:num w:numId="8" w16cid:durableId="129328326">
    <w:abstractNumId w:val="1"/>
  </w:num>
  <w:num w:numId="9" w16cid:durableId="384136325">
    <w:abstractNumId w:val="9"/>
  </w:num>
  <w:num w:numId="10" w16cid:durableId="1587416855">
    <w:abstractNumId w:val="10"/>
  </w:num>
  <w:num w:numId="11" w16cid:durableId="258177728">
    <w:abstractNumId w:val="8"/>
  </w:num>
  <w:num w:numId="12" w16cid:durableId="1641571925">
    <w:abstractNumId w:val="6"/>
  </w:num>
  <w:num w:numId="13" w16cid:durableId="475801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B7"/>
    <w:rsid w:val="001D1E92"/>
    <w:rsid w:val="004A4B12"/>
    <w:rsid w:val="005964ED"/>
    <w:rsid w:val="00621B8E"/>
    <w:rsid w:val="00676004"/>
    <w:rsid w:val="007E3251"/>
    <w:rsid w:val="00824034"/>
    <w:rsid w:val="0086335C"/>
    <w:rsid w:val="008D1263"/>
    <w:rsid w:val="009135AA"/>
    <w:rsid w:val="009B71AC"/>
    <w:rsid w:val="00A72F1F"/>
    <w:rsid w:val="00AA2EFF"/>
    <w:rsid w:val="00AE6513"/>
    <w:rsid w:val="00B03C82"/>
    <w:rsid w:val="00C57A35"/>
    <w:rsid w:val="00EF49B7"/>
    <w:rsid w:val="00F1003C"/>
    <w:rsid w:val="00F42E7E"/>
    <w:rsid w:val="00F6034E"/>
    <w:rsid w:val="00F73C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0F19"/>
  <w15:chartTrackingRefBased/>
  <w15:docId w15:val="{19671EF7-496A-4586-824E-471EA119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03C"/>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1003C"/>
    <w:rPr>
      <w:color w:val="0563C1" w:themeColor="hyperlink"/>
      <w:u w:val="single"/>
    </w:rPr>
  </w:style>
  <w:style w:type="character" w:styleId="Mencinsinresolver">
    <w:name w:val="Unresolved Mention"/>
    <w:basedOn w:val="Fuentedeprrafopredeter"/>
    <w:uiPriority w:val="99"/>
    <w:semiHidden/>
    <w:unhideWhenUsed/>
    <w:rsid w:val="00F1003C"/>
    <w:rPr>
      <w:color w:val="605E5C"/>
      <w:shd w:val="clear" w:color="auto" w:fill="E1DFDD"/>
    </w:rPr>
  </w:style>
  <w:style w:type="paragraph" w:styleId="Prrafodelista">
    <w:name w:val="List Paragraph"/>
    <w:basedOn w:val="Normal"/>
    <w:uiPriority w:val="34"/>
    <w:qFormat/>
    <w:rsid w:val="00F1003C"/>
    <w:pPr>
      <w:spacing w:before="100" w:beforeAutospacing="1" w:after="100" w:afterAutospacing="1"/>
    </w:pPr>
    <w:rPr>
      <w:lang w:eastAsia="es-CL"/>
    </w:rPr>
  </w:style>
  <w:style w:type="character" w:customStyle="1" w:styleId="apple-converted-space">
    <w:name w:val="apple-converted-space"/>
    <w:basedOn w:val="Fuentedeprrafopredeter"/>
    <w:rsid w:val="00F1003C"/>
  </w:style>
  <w:style w:type="paragraph" w:customStyle="1" w:styleId="kb-icon-list-style-default">
    <w:name w:val="kb-icon-list-style-default"/>
    <w:basedOn w:val="Normal"/>
    <w:rsid w:val="00F73C6D"/>
    <w:pPr>
      <w:spacing w:before="100" w:beforeAutospacing="1" w:after="100" w:afterAutospacing="1"/>
    </w:pPr>
    <w:rPr>
      <w:rFonts w:ascii="Times New Roman" w:eastAsia="Times New Roman" w:hAnsi="Times New Roman" w:cs="Times New Roman"/>
      <w:sz w:val="24"/>
      <w:szCs w:val="24"/>
      <w:lang w:eastAsia="es-CL"/>
    </w:rPr>
  </w:style>
  <w:style w:type="character" w:customStyle="1" w:styleId="kb-icon-list-text">
    <w:name w:val="kb-icon-list-text"/>
    <w:basedOn w:val="Fuentedeprrafopredeter"/>
    <w:rsid w:val="00F73C6D"/>
  </w:style>
  <w:style w:type="character" w:styleId="Textoennegrita">
    <w:name w:val="Strong"/>
    <w:basedOn w:val="Fuentedeprrafopredeter"/>
    <w:uiPriority w:val="22"/>
    <w:qFormat/>
    <w:rsid w:val="00F73C6D"/>
    <w:rPr>
      <w:b/>
      <w:bCs/>
    </w:rPr>
  </w:style>
  <w:style w:type="paragraph" w:styleId="NormalWeb">
    <w:name w:val="Normal (Web)"/>
    <w:basedOn w:val="Normal"/>
    <w:uiPriority w:val="99"/>
    <w:semiHidden/>
    <w:unhideWhenUsed/>
    <w:rsid w:val="009135AA"/>
    <w:pPr>
      <w:spacing w:before="100" w:beforeAutospacing="1" w:after="100" w:afterAutospacing="1"/>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semiHidden/>
    <w:unhideWhenUsed/>
    <w:rsid w:val="00B03C82"/>
    <w:rPr>
      <w:rFonts w:asciiTheme="minorHAnsi" w:eastAsiaTheme="minorEastAsia" w:hAnsiTheme="minorHAnsi" w:cstheme="minorBidi"/>
      <w:sz w:val="20"/>
      <w:szCs w:val="20"/>
      <w:lang w:eastAsia="zh-CN"/>
    </w:rPr>
  </w:style>
  <w:style w:type="character" w:customStyle="1" w:styleId="TextonotapieCar">
    <w:name w:val="Texto nota pie Car"/>
    <w:basedOn w:val="Fuentedeprrafopredeter"/>
    <w:link w:val="Textonotapie"/>
    <w:uiPriority w:val="99"/>
    <w:semiHidden/>
    <w:rsid w:val="00B03C82"/>
    <w:rPr>
      <w:rFonts w:eastAsiaTheme="minorEastAsia"/>
      <w:sz w:val="20"/>
      <w:szCs w:val="20"/>
      <w:lang w:eastAsia="zh-CN"/>
    </w:rPr>
  </w:style>
  <w:style w:type="character" w:styleId="Refdenotaalpie">
    <w:name w:val="footnote reference"/>
    <w:basedOn w:val="Fuentedeprrafopredeter"/>
    <w:uiPriority w:val="99"/>
    <w:semiHidden/>
    <w:unhideWhenUsed/>
    <w:rsid w:val="00B03C82"/>
    <w:rPr>
      <w:vertAlign w:val="superscript"/>
    </w:rPr>
  </w:style>
  <w:style w:type="paragraph" w:customStyle="1" w:styleId="bibliografia">
    <w:name w:val="bibliografia"/>
    <w:basedOn w:val="Normal"/>
    <w:rsid w:val="009B71AC"/>
    <w:pPr>
      <w:spacing w:before="100" w:beforeAutospacing="1" w:after="100" w:afterAutospacing="1"/>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0011">
      <w:bodyDiv w:val="1"/>
      <w:marLeft w:val="0"/>
      <w:marRight w:val="0"/>
      <w:marTop w:val="0"/>
      <w:marBottom w:val="0"/>
      <w:divBdr>
        <w:top w:val="none" w:sz="0" w:space="0" w:color="auto"/>
        <w:left w:val="none" w:sz="0" w:space="0" w:color="auto"/>
        <w:bottom w:val="none" w:sz="0" w:space="0" w:color="auto"/>
        <w:right w:val="none" w:sz="0" w:space="0" w:color="auto"/>
      </w:divBdr>
    </w:div>
    <w:div w:id="147407750">
      <w:bodyDiv w:val="1"/>
      <w:marLeft w:val="0"/>
      <w:marRight w:val="0"/>
      <w:marTop w:val="0"/>
      <w:marBottom w:val="0"/>
      <w:divBdr>
        <w:top w:val="none" w:sz="0" w:space="0" w:color="auto"/>
        <w:left w:val="none" w:sz="0" w:space="0" w:color="auto"/>
        <w:bottom w:val="none" w:sz="0" w:space="0" w:color="auto"/>
        <w:right w:val="none" w:sz="0" w:space="0" w:color="auto"/>
      </w:divBdr>
    </w:div>
    <w:div w:id="255673496">
      <w:bodyDiv w:val="1"/>
      <w:marLeft w:val="0"/>
      <w:marRight w:val="0"/>
      <w:marTop w:val="0"/>
      <w:marBottom w:val="0"/>
      <w:divBdr>
        <w:top w:val="none" w:sz="0" w:space="0" w:color="auto"/>
        <w:left w:val="none" w:sz="0" w:space="0" w:color="auto"/>
        <w:bottom w:val="none" w:sz="0" w:space="0" w:color="auto"/>
        <w:right w:val="none" w:sz="0" w:space="0" w:color="auto"/>
      </w:divBdr>
    </w:div>
    <w:div w:id="257296907">
      <w:bodyDiv w:val="1"/>
      <w:marLeft w:val="0"/>
      <w:marRight w:val="0"/>
      <w:marTop w:val="0"/>
      <w:marBottom w:val="0"/>
      <w:divBdr>
        <w:top w:val="none" w:sz="0" w:space="0" w:color="auto"/>
        <w:left w:val="none" w:sz="0" w:space="0" w:color="auto"/>
        <w:bottom w:val="none" w:sz="0" w:space="0" w:color="auto"/>
        <w:right w:val="none" w:sz="0" w:space="0" w:color="auto"/>
      </w:divBdr>
      <w:divsChild>
        <w:div w:id="1863590651">
          <w:marLeft w:val="1022"/>
          <w:marRight w:val="0"/>
          <w:marTop w:val="100"/>
          <w:marBottom w:val="0"/>
          <w:divBdr>
            <w:top w:val="none" w:sz="0" w:space="0" w:color="auto"/>
            <w:left w:val="none" w:sz="0" w:space="0" w:color="auto"/>
            <w:bottom w:val="none" w:sz="0" w:space="0" w:color="auto"/>
            <w:right w:val="none" w:sz="0" w:space="0" w:color="auto"/>
          </w:divBdr>
        </w:div>
      </w:divsChild>
    </w:div>
    <w:div w:id="575163854">
      <w:bodyDiv w:val="1"/>
      <w:marLeft w:val="0"/>
      <w:marRight w:val="0"/>
      <w:marTop w:val="0"/>
      <w:marBottom w:val="0"/>
      <w:divBdr>
        <w:top w:val="none" w:sz="0" w:space="0" w:color="auto"/>
        <w:left w:val="none" w:sz="0" w:space="0" w:color="auto"/>
        <w:bottom w:val="none" w:sz="0" w:space="0" w:color="auto"/>
        <w:right w:val="none" w:sz="0" w:space="0" w:color="auto"/>
      </w:divBdr>
    </w:div>
    <w:div w:id="1086265798">
      <w:bodyDiv w:val="1"/>
      <w:marLeft w:val="0"/>
      <w:marRight w:val="0"/>
      <w:marTop w:val="0"/>
      <w:marBottom w:val="0"/>
      <w:divBdr>
        <w:top w:val="none" w:sz="0" w:space="0" w:color="auto"/>
        <w:left w:val="none" w:sz="0" w:space="0" w:color="auto"/>
        <w:bottom w:val="none" w:sz="0" w:space="0" w:color="auto"/>
        <w:right w:val="none" w:sz="0" w:space="0" w:color="auto"/>
      </w:divBdr>
    </w:div>
    <w:div w:id="1341128906">
      <w:bodyDiv w:val="1"/>
      <w:marLeft w:val="0"/>
      <w:marRight w:val="0"/>
      <w:marTop w:val="0"/>
      <w:marBottom w:val="0"/>
      <w:divBdr>
        <w:top w:val="none" w:sz="0" w:space="0" w:color="auto"/>
        <w:left w:val="none" w:sz="0" w:space="0" w:color="auto"/>
        <w:bottom w:val="none" w:sz="0" w:space="0" w:color="auto"/>
        <w:right w:val="none" w:sz="0" w:space="0" w:color="auto"/>
      </w:divBdr>
    </w:div>
    <w:div w:id="1393962160">
      <w:bodyDiv w:val="1"/>
      <w:marLeft w:val="0"/>
      <w:marRight w:val="0"/>
      <w:marTop w:val="0"/>
      <w:marBottom w:val="0"/>
      <w:divBdr>
        <w:top w:val="none" w:sz="0" w:space="0" w:color="auto"/>
        <w:left w:val="none" w:sz="0" w:space="0" w:color="auto"/>
        <w:bottom w:val="none" w:sz="0" w:space="0" w:color="auto"/>
        <w:right w:val="none" w:sz="0" w:space="0" w:color="auto"/>
      </w:divBdr>
      <w:divsChild>
        <w:div w:id="220792906">
          <w:marLeft w:val="1022"/>
          <w:marRight w:val="0"/>
          <w:marTop w:val="100"/>
          <w:marBottom w:val="0"/>
          <w:divBdr>
            <w:top w:val="none" w:sz="0" w:space="0" w:color="auto"/>
            <w:left w:val="none" w:sz="0" w:space="0" w:color="auto"/>
            <w:bottom w:val="none" w:sz="0" w:space="0" w:color="auto"/>
            <w:right w:val="none" w:sz="0" w:space="0" w:color="auto"/>
          </w:divBdr>
        </w:div>
        <w:div w:id="1196776630">
          <w:marLeft w:val="1022"/>
          <w:marRight w:val="0"/>
          <w:marTop w:val="100"/>
          <w:marBottom w:val="0"/>
          <w:divBdr>
            <w:top w:val="none" w:sz="0" w:space="0" w:color="auto"/>
            <w:left w:val="none" w:sz="0" w:space="0" w:color="auto"/>
            <w:bottom w:val="none" w:sz="0" w:space="0" w:color="auto"/>
            <w:right w:val="none" w:sz="0" w:space="0" w:color="auto"/>
          </w:divBdr>
        </w:div>
      </w:divsChild>
    </w:div>
    <w:div w:id="1600989696">
      <w:bodyDiv w:val="1"/>
      <w:marLeft w:val="0"/>
      <w:marRight w:val="0"/>
      <w:marTop w:val="0"/>
      <w:marBottom w:val="0"/>
      <w:divBdr>
        <w:top w:val="none" w:sz="0" w:space="0" w:color="auto"/>
        <w:left w:val="none" w:sz="0" w:space="0" w:color="auto"/>
        <w:bottom w:val="none" w:sz="0" w:space="0" w:color="auto"/>
        <w:right w:val="none" w:sz="0" w:space="0" w:color="auto"/>
      </w:divBdr>
      <w:divsChild>
        <w:div w:id="1084838046">
          <w:marLeft w:val="1022"/>
          <w:marRight w:val="0"/>
          <w:marTop w:val="100"/>
          <w:marBottom w:val="0"/>
          <w:divBdr>
            <w:top w:val="none" w:sz="0" w:space="0" w:color="auto"/>
            <w:left w:val="none" w:sz="0" w:space="0" w:color="auto"/>
            <w:bottom w:val="none" w:sz="0" w:space="0" w:color="auto"/>
            <w:right w:val="none" w:sz="0" w:space="0" w:color="auto"/>
          </w:divBdr>
        </w:div>
      </w:divsChild>
    </w:div>
    <w:div w:id="189742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journal/7041/704173394009/html/" TargetMode="External"/><Relationship Id="rId3" Type="http://schemas.openxmlformats.org/officeDocument/2006/relationships/settings" Target="settings.xml"/><Relationship Id="rId7" Type="http://schemas.openxmlformats.org/officeDocument/2006/relationships/hyperlink" Target="mailto:javier.garcia@aiep.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6</Pages>
  <Words>2550</Words>
  <Characters>14029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Nicolas Garcia Gonzalez</dc:creator>
  <cp:keywords/>
  <dc:description/>
  <cp:lastModifiedBy>Javier Nicolas Garcia Gonzalez</cp:lastModifiedBy>
  <cp:revision>3</cp:revision>
  <dcterms:created xsi:type="dcterms:W3CDTF">2022-12-26T15:17:00Z</dcterms:created>
  <dcterms:modified xsi:type="dcterms:W3CDTF">2022-12-26T18:55:00Z</dcterms:modified>
</cp:coreProperties>
</file>