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E4F7" w14:textId="1B47B53E" w:rsidR="006A1BE1" w:rsidRPr="00254BC0" w:rsidRDefault="006A1BE1" w:rsidP="0087424B">
      <w:pPr>
        <w:jc w:val="both"/>
        <w:rPr>
          <w:rFonts w:asciiTheme="majorHAnsi" w:hAnsiTheme="majorHAnsi" w:cstheme="majorHAnsi"/>
          <w:b/>
          <w:bCs/>
          <w:sz w:val="20"/>
          <w:szCs w:val="20"/>
          <w:lang w:val="es-ES"/>
        </w:rPr>
      </w:pPr>
      <w:r w:rsidRPr="00254BC0">
        <w:rPr>
          <w:rFonts w:asciiTheme="majorHAnsi" w:hAnsiTheme="majorHAnsi" w:cstheme="majorHAnsi"/>
          <w:b/>
          <w:bCs/>
          <w:sz w:val="20"/>
          <w:szCs w:val="20"/>
          <w:lang w:val="es-ES"/>
        </w:rPr>
        <w:t>Implementación de metodologías activas de enseñanza-aprendizaje: institucionalización del aprendizaje más servicio</w:t>
      </w:r>
    </w:p>
    <w:p w14:paraId="62ABE2B5" w14:textId="65186C31" w:rsidR="006A1BE1" w:rsidRPr="00254BC0" w:rsidRDefault="006A1BE1" w:rsidP="0087424B">
      <w:pPr>
        <w:jc w:val="both"/>
        <w:rPr>
          <w:rFonts w:asciiTheme="majorHAnsi" w:hAnsiTheme="majorHAnsi" w:cstheme="majorHAnsi"/>
          <w:sz w:val="20"/>
          <w:szCs w:val="20"/>
          <w:lang w:val="es-ES"/>
        </w:rPr>
      </w:pPr>
      <w:r w:rsidRPr="00254BC0">
        <w:rPr>
          <w:rFonts w:asciiTheme="majorHAnsi" w:hAnsiTheme="majorHAnsi" w:cstheme="majorHAnsi"/>
          <w:sz w:val="20"/>
          <w:szCs w:val="20"/>
          <w:lang w:val="es-ES"/>
        </w:rPr>
        <w:t>Marcela Vaccaro</w:t>
      </w:r>
    </w:p>
    <w:p w14:paraId="12DD0BC6" w14:textId="74FB8E28" w:rsidR="006A1BE1" w:rsidRPr="00254BC0" w:rsidRDefault="006A1BE1" w:rsidP="0087424B">
      <w:pPr>
        <w:jc w:val="both"/>
        <w:rPr>
          <w:rFonts w:asciiTheme="majorHAnsi" w:hAnsiTheme="majorHAnsi" w:cstheme="majorHAnsi"/>
          <w:sz w:val="20"/>
          <w:szCs w:val="20"/>
          <w:lang w:val="es-ES"/>
        </w:rPr>
      </w:pPr>
      <w:r w:rsidRPr="00254BC0">
        <w:rPr>
          <w:rFonts w:asciiTheme="majorHAnsi" w:hAnsiTheme="majorHAnsi" w:cstheme="majorHAnsi"/>
          <w:sz w:val="20"/>
          <w:szCs w:val="20"/>
          <w:lang w:val="es-ES"/>
        </w:rPr>
        <w:t>Nicolás Gagliardi</w:t>
      </w:r>
    </w:p>
    <w:p w14:paraId="7189861F" w14:textId="5E47F160" w:rsidR="006A1BE1" w:rsidRPr="00254BC0" w:rsidRDefault="00000000" w:rsidP="0087424B">
      <w:pPr>
        <w:jc w:val="both"/>
        <w:rPr>
          <w:rFonts w:asciiTheme="majorHAnsi" w:hAnsiTheme="majorHAnsi" w:cstheme="majorHAnsi"/>
          <w:sz w:val="20"/>
          <w:szCs w:val="20"/>
          <w:lang w:val="es-ES"/>
        </w:rPr>
      </w:pPr>
      <w:hyperlink r:id="rId5" w:history="1">
        <w:r w:rsidR="006A1BE1" w:rsidRPr="00254BC0">
          <w:rPr>
            <w:rStyle w:val="Hipervnculo"/>
            <w:rFonts w:asciiTheme="majorHAnsi" w:hAnsiTheme="majorHAnsi" w:cstheme="majorHAnsi"/>
            <w:sz w:val="20"/>
            <w:szCs w:val="20"/>
            <w:lang w:val="es-ES"/>
          </w:rPr>
          <w:t>marcela.vaccaro@aiep.cl</w:t>
        </w:r>
      </w:hyperlink>
    </w:p>
    <w:p w14:paraId="0C412B91" w14:textId="16DCCB39" w:rsidR="006A1BE1" w:rsidRPr="00254BC0" w:rsidRDefault="00000000" w:rsidP="0087424B">
      <w:pPr>
        <w:jc w:val="both"/>
        <w:rPr>
          <w:rFonts w:asciiTheme="majorHAnsi" w:hAnsiTheme="majorHAnsi" w:cstheme="majorHAnsi"/>
          <w:sz w:val="20"/>
          <w:szCs w:val="20"/>
          <w:lang w:val="es-ES"/>
        </w:rPr>
      </w:pPr>
      <w:hyperlink r:id="rId6" w:history="1">
        <w:r w:rsidR="006A1BE1" w:rsidRPr="00254BC0">
          <w:rPr>
            <w:rStyle w:val="Hipervnculo"/>
            <w:rFonts w:asciiTheme="majorHAnsi" w:hAnsiTheme="majorHAnsi" w:cstheme="majorHAnsi"/>
            <w:sz w:val="20"/>
            <w:szCs w:val="20"/>
            <w:lang w:val="es-ES"/>
          </w:rPr>
          <w:t>nicolas.gagliardi@aiep.cl</w:t>
        </w:r>
      </w:hyperlink>
      <w:r w:rsidR="006A1BE1" w:rsidRPr="00254BC0">
        <w:rPr>
          <w:rFonts w:asciiTheme="majorHAnsi" w:hAnsiTheme="majorHAnsi" w:cstheme="majorHAnsi"/>
          <w:sz w:val="20"/>
          <w:szCs w:val="20"/>
          <w:lang w:val="es-ES"/>
        </w:rPr>
        <w:t xml:space="preserve"> </w:t>
      </w:r>
    </w:p>
    <w:p w14:paraId="536DD3B1" w14:textId="38D7999A" w:rsidR="006A1BE1" w:rsidRPr="00254BC0" w:rsidRDefault="006A1BE1" w:rsidP="0087424B">
      <w:pPr>
        <w:jc w:val="both"/>
        <w:rPr>
          <w:rFonts w:asciiTheme="majorHAnsi" w:hAnsiTheme="majorHAnsi" w:cstheme="majorHAnsi"/>
          <w:b/>
          <w:bCs/>
          <w:sz w:val="20"/>
          <w:szCs w:val="20"/>
        </w:rPr>
      </w:pPr>
      <w:r w:rsidRPr="00254BC0">
        <w:rPr>
          <w:rFonts w:asciiTheme="majorHAnsi" w:hAnsiTheme="majorHAnsi" w:cstheme="majorHAnsi"/>
          <w:b/>
          <w:bCs/>
          <w:sz w:val="20"/>
          <w:szCs w:val="20"/>
        </w:rPr>
        <w:t>Resumen</w:t>
      </w:r>
    </w:p>
    <w:p w14:paraId="2C44A8B4" w14:textId="7B6E229F" w:rsidR="00DE7F2A" w:rsidRPr="00254BC0" w:rsidRDefault="006A1BE1" w:rsidP="0087424B">
      <w:pPr>
        <w:jc w:val="both"/>
        <w:rPr>
          <w:rFonts w:asciiTheme="majorHAnsi" w:hAnsiTheme="majorHAnsi" w:cstheme="majorHAnsi"/>
          <w:sz w:val="20"/>
          <w:szCs w:val="20"/>
        </w:rPr>
      </w:pPr>
      <w:r w:rsidRPr="00254BC0">
        <w:rPr>
          <w:rFonts w:asciiTheme="majorHAnsi" w:hAnsiTheme="majorHAnsi" w:cstheme="majorHAnsi"/>
          <w:sz w:val="20"/>
          <w:szCs w:val="20"/>
        </w:rPr>
        <w:t>La ponencia corresponde al área temática “Vinculación con el medio y su relación con la docencia de pregrado o posgrado”, en la categoría “</w:t>
      </w:r>
      <w:r w:rsidRPr="00254BC0">
        <w:rPr>
          <w:rFonts w:asciiTheme="majorHAnsi" w:hAnsiTheme="majorHAnsi" w:cstheme="majorHAnsi"/>
          <w:sz w:val="20"/>
          <w:szCs w:val="20"/>
          <w:lang w:val="es-ES"/>
        </w:rPr>
        <w:t>Aprendizaje Servicio, Aprendizaje por Desafíos, Aprendizaje por Proyectos, entre otras</w:t>
      </w:r>
      <w:r w:rsidRPr="00254BC0">
        <w:rPr>
          <w:rFonts w:asciiTheme="majorHAnsi" w:hAnsiTheme="majorHAnsi" w:cstheme="majorHAnsi"/>
          <w:sz w:val="20"/>
          <w:szCs w:val="20"/>
        </w:rPr>
        <w:t>”.</w:t>
      </w:r>
      <w:r w:rsidR="00DE7F2A" w:rsidRPr="00254BC0">
        <w:rPr>
          <w:rFonts w:asciiTheme="majorHAnsi" w:hAnsiTheme="majorHAnsi" w:cstheme="majorHAnsi"/>
          <w:sz w:val="20"/>
          <w:szCs w:val="20"/>
        </w:rPr>
        <w:t xml:space="preserve"> La ponencia toma como base la implementación de la metodología de aprendizaje más servicio en el Instituto Profesional AIEP y de cómo se logra la institucionalización de la metodología. Dentro de la ponencia se abordan elementos relacionados con la pertinencia disciplinar y pertinencia geográfica de las iniciativas que consideran esta metodología. La ponencia busca ser un espacio de referencia para instituciones que buscan avanzar hacia la institucionalización de la metodología, considerando el despliegue de la institución a nivel nacional y cómo logra articular iniciativas en distintos espacios geográficos. </w:t>
      </w:r>
    </w:p>
    <w:p w14:paraId="7A33A837" w14:textId="2800939D" w:rsidR="006A1BE1" w:rsidRPr="00254BC0" w:rsidRDefault="006A1BE1" w:rsidP="0087424B">
      <w:pPr>
        <w:jc w:val="both"/>
        <w:rPr>
          <w:rFonts w:asciiTheme="majorHAnsi" w:hAnsiTheme="majorHAnsi" w:cstheme="majorHAnsi"/>
          <w:b/>
          <w:bCs/>
          <w:sz w:val="20"/>
          <w:szCs w:val="20"/>
        </w:rPr>
      </w:pPr>
      <w:r w:rsidRPr="00254BC0">
        <w:rPr>
          <w:rFonts w:asciiTheme="majorHAnsi" w:hAnsiTheme="majorHAnsi" w:cstheme="majorHAnsi"/>
          <w:b/>
          <w:bCs/>
          <w:sz w:val="20"/>
          <w:szCs w:val="20"/>
        </w:rPr>
        <w:t>Palabras claves</w:t>
      </w:r>
    </w:p>
    <w:p w14:paraId="392BB67E" w14:textId="44A1DD2A" w:rsidR="006A1BE1" w:rsidRPr="00254BC0" w:rsidRDefault="006A1BE1" w:rsidP="0087424B">
      <w:pPr>
        <w:jc w:val="both"/>
        <w:rPr>
          <w:rFonts w:asciiTheme="majorHAnsi" w:hAnsiTheme="majorHAnsi" w:cstheme="majorHAnsi"/>
          <w:sz w:val="20"/>
          <w:szCs w:val="20"/>
        </w:rPr>
      </w:pPr>
      <w:r w:rsidRPr="00254BC0">
        <w:rPr>
          <w:rFonts w:asciiTheme="majorHAnsi" w:hAnsiTheme="majorHAnsi" w:cstheme="majorHAnsi"/>
          <w:sz w:val="20"/>
          <w:szCs w:val="20"/>
        </w:rPr>
        <w:t>Aprendizaje más servicio, metodologías activas, pertinencia disciplinar, enseñanza-aprendizaje</w:t>
      </w:r>
    </w:p>
    <w:p w14:paraId="5BD006ED" w14:textId="1B7B677B" w:rsidR="006A1BE1" w:rsidRPr="00254BC0" w:rsidRDefault="006A1BE1" w:rsidP="0087424B">
      <w:pPr>
        <w:jc w:val="both"/>
        <w:rPr>
          <w:rFonts w:asciiTheme="majorHAnsi" w:hAnsiTheme="majorHAnsi" w:cstheme="majorHAnsi"/>
          <w:b/>
          <w:bCs/>
          <w:sz w:val="20"/>
          <w:szCs w:val="20"/>
        </w:rPr>
      </w:pPr>
      <w:r w:rsidRPr="00254BC0">
        <w:rPr>
          <w:rFonts w:asciiTheme="majorHAnsi" w:hAnsiTheme="majorHAnsi" w:cstheme="majorHAnsi"/>
          <w:b/>
          <w:bCs/>
          <w:sz w:val="20"/>
          <w:szCs w:val="20"/>
        </w:rPr>
        <w:t>Introducción</w:t>
      </w:r>
    </w:p>
    <w:p w14:paraId="64DFF9FC" w14:textId="582B66D4" w:rsidR="00F56C65" w:rsidRPr="00254BC0" w:rsidRDefault="00F56C65" w:rsidP="0087424B">
      <w:pPr>
        <w:jc w:val="both"/>
        <w:rPr>
          <w:rFonts w:asciiTheme="majorHAnsi" w:hAnsiTheme="majorHAnsi" w:cstheme="majorHAnsi"/>
          <w:sz w:val="20"/>
          <w:szCs w:val="20"/>
        </w:rPr>
      </w:pPr>
      <w:r w:rsidRPr="00254BC0">
        <w:rPr>
          <w:rFonts w:asciiTheme="majorHAnsi" w:hAnsiTheme="majorHAnsi" w:cstheme="majorHAnsi"/>
          <w:sz w:val="20"/>
          <w:szCs w:val="20"/>
        </w:rPr>
        <w:t>El aprendizaje-servicio es una metodología activa de aprendizaje que busca involucrar a los estudiantes en actividades que combinan el servicio a la comunidad y el aprendizaje académico (</w:t>
      </w:r>
      <w:proofErr w:type="spellStart"/>
      <w:r w:rsidRPr="00254BC0">
        <w:rPr>
          <w:rFonts w:asciiTheme="majorHAnsi" w:hAnsiTheme="majorHAnsi" w:cstheme="majorHAnsi"/>
          <w:sz w:val="20"/>
          <w:szCs w:val="20"/>
        </w:rPr>
        <w:t>Furco</w:t>
      </w:r>
      <w:proofErr w:type="spellEnd"/>
      <w:r w:rsidRPr="00254BC0">
        <w:rPr>
          <w:rFonts w:asciiTheme="majorHAnsi" w:hAnsiTheme="majorHAnsi" w:cstheme="majorHAnsi"/>
          <w:sz w:val="20"/>
          <w:szCs w:val="20"/>
        </w:rPr>
        <w:t>, 2002). Según el Centro Promotor del Aprendizaje-servicio de Cataluña, declara que el aprendizaje-servicio es una propuesta educativa que combina procesos de aprendizaje y de servicio a la comunidad en un solo proyecto, bien articulado, donde los participantes aprenden al trabajar en necesidades del entorno con la finalidad de mejorarlo.</w:t>
      </w:r>
    </w:p>
    <w:p w14:paraId="6C3685F4" w14:textId="0EB4BE65" w:rsidR="00F56C65" w:rsidRPr="00254BC0" w:rsidRDefault="00F56C65"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El aprendizaje-servicio reconoce la reciprocidad en el intercambio entre estudiantes y la comunidad: el servicio que desarrollan los estudiantes se decide en colaboración con la comunidad, este servicio se integra con el currículo académico de los estudiantes y provee oportunidades estructuradas para que puedan pensar, hablar o escribir sobre sus experiencias (en otras palabras: reflexionar) durante la actividad de servicio. </w:t>
      </w:r>
    </w:p>
    <w:p w14:paraId="3F153078" w14:textId="339226F5" w:rsidR="00F56C65" w:rsidRPr="00254BC0" w:rsidRDefault="00F56C65" w:rsidP="0087424B">
      <w:pPr>
        <w:jc w:val="both"/>
        <w:rPr>
          <w:rFonts w:asciiTheme="majorHAnsi" w:hAnsiTheme="majorHAnsi" w:cstheme="majorHAnsi"/>
          <w:sz w:val="20"/>
          <w:szCs w:val="20"/>
        </w:rPr>
      </w:pPr>
      <w:r w:rsidRPr="00254BC0">
        <w:rPr>
          <w:rFonts w:asciiTheme="majorHAnsi" w:hAnsiTheme="majorHAnsi" w:cstheme="majorHAnsi"/>
          <w:sz w:val="20"/>
          <w:szCs w:val="20"/>
        </w:rPr>
        <w:t>Con todo, se advierte que el aprendizaje-servicio apunta a desarrollar y extender lo que se enseña de modo que los estudiantes desarrollen un sentido del cuidado de otros y una ciudadanía más crítica (Osman y Petersen, 2013).</w:t>
      </w:r>
    </w:p>
    <w:p w14:paraId="21F5F44D" w14:textId="704E65E1" w:rsidR="00F56C65" w:rsidRPr="00254BC0" w:rsidRDefault="00F56C65"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Con lo anterior, queda de manifiesto dos ejes esenciales dentro del aprendizaje-servicio: lo disciplinar y lo geográfico. Esto lo reconocemos como pertinencia disciplinar y pertinencia geográfica. </w:t>
      </w:r>
    </w:p>
    <w:p w14:paraId="68EB4F6D" w14:textId="5A92FF7B" w:rsidR="00F56C65"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Estos elementos son claves en la formulación de un proyecto de aprendizaje-servicio porque facilitan la conexión entre las capacidades de la institución y las necesidades del entorno.</w:t>
      </w:r>
    </w:p>
    <w:p w14:paraId="4520DA69" w14:textId="044F7FB5" w:rsidR="00254BC0" w:rsidRPr="00254BC0" w:rsidRDefault="00254BC0"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De esta forma, la ponencia propone algunas definiciones en torno al aprendizaje-servicio a nivel internacional y nacional, así como promueve observar la metodología desde la pertinencia disciplinar y geográfica. La articulación entre pertinencia disciplinar y geográfica facilita el despliegue de las iniciativas y favorece los procesos de enseñanza y aprendizaje de nuestros estudiantes, brindando experiencias significativas para el desarrollo de competencias y habilidades que cada módulo de estudio considera. </w:t>
      </w:r>
    </w:p>
    <w:p w14:paraId="3D52EC23" w14:textId="1ECB851D" w:rsidR="00254BC0" w:rsidRPr="00254BC0" w:rsidRDefault="00254BC0" w:rsidP="0087424B">
      <w:pPr>
        <w:jc w:val="both"/>
        <w:rPr>
          <w:rFonts w:asciiTheme="majorHAnsi" w:hAnsiTheme="majorHAnsi" w:cstheme="majorHAnsi"/>
          <w:sz w:val="20"/>
          <w:szCs w:val="20"/>
        </w:rPr>
      </w:pPr>
      <w:r w:rsidRPr="00254BC0">
        <w:rPr>
          <w:rFonts w:asciiTheme="majorHAnsi" w:hAnsiTheme="majorHAnsi" w:cstheme="majorHAnsi"/>
          <w:sz w:val="20"/>
          <w:szCs w:val="20"/>
        </w:rPr>
        <w:lastRenderedPageBreak/>
        <w:t xml:space="preserve">Finalmente, se espera que el compartir experiencias en torno a la institucionalización del aprendizaje-servicio sea un mecanismo para promover la metodología y generar procesos de creación de masa crítica, construcción de calidad </w:t>
      </w:r>
      <w:proofErr w:type="spellStart"/>
      <w:r w:rsidRPr="00254BC0">
        <w:rPr>
          <w:rFonts w:asciiTheme="majorHAnsi" w:hAnsiTheme="majorHAnsi" w:cstheme="majorHAnsi"/>
          <w:sz w:val="20"/>
          <w:szCs w:val="20"/>
        </w:rPr>
        <w:t>y</w:t>
      </w:r>
      <w:proofErr w:type="spellEnd"/>
      <w:r w:rsidRPr="00254BC0">
        <w:rPr>
          <w:rFonts w:asciiTheme="majorHAnsi" w:hAnsiTheme="majorHAnsi" w:cstheme="majorHAnsi"/>
          <w:sz w:val="20"/>
          <w:szCs w:val="20"/>
        </w:rPr>
        <w:t xml:space="preserve"> institucionalización sustentable.</w:t>
      </w:r>
    </w:p>
    <w:p w14:paraId="76C5BC6C" w14:textId="3B52E658" w:rsidR="00B00230" w:rsidRPr="00254BC0" w:rsidRDefault="00B00230" w:rsidP="0087424B">
      <w:pPr>
        <w:jc w:val="both"/>
        <w:rPr>
          <w:rFonts w:asciiTheme="majorHAnsi" w:hAnsiTheme="majorHAnsi" w:cstheme="majorHAnsi"/>
          <w:b/>
          <w:bCs/>
          <w:sz w:val="20"/>
          <w:szCs w:val="20"/>
        </w:rPr>
      </w:pPr>
      <w:r w:rsidRPr="00254BC0">
        <w:rPr>
          <w:rFonts w:asciiTheme="majorHAnsi" w:hAnsiTheme="majorHAnsi" w:cstheme="majorHAnsi"/>
          <w:b/>
          <w:bCs/>
          <w:sz w:val="20"/>
          <w:szCs w:val="20"/>
        </w:rPr>
        <w:t>Contexto y reflexiones</w:t>
      </w:r>
    </w:p>
    <w:p w14:paraId="765B81ED" w14:textId="14368A62" w:rsidR="00B00230"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A continuación, se describen algunos elementos que contextualizan la ponencia:</w:t>
      </w:r>
    </w:p>
    <w:p w14:paraId="262EFB8D" w14:textId="5BD20711" w:rsidR="00F56C65" w:rsidRPr="00254BC0" w:rsidRDefault="00F56C65" w:rsidP="0087424B">
      <w:pPr>
        <w:pStyle w:val="Prrafodelista"/>
        <w:numPr>
          <w:ilvl w:val="0"/>
          <w:numId w:val="5"/>
        </w:numPr>
        <w:jc w:val="both"/>
        <w:rPr>
          <w:rFonts w:asciiTheme="majorHAnsi" w:hAnsiTheme="majorHAnsi" w:cstheme="majorHAnsi"/>
          <w:b/>
          <w:bCs/>
          <w:sz w:val="20"/>
          <w:szCs w:val="20"/>
        </w:rPr>
      </w:pPr>
      <w:r w:rsidRPr="00254BC0">
        <w:rPr>
          <w:rFonts w:asciiTheme="majorHAnsi" w:hAnsiTheme="majorHAnsi" w:cstheme="majorHAnsi"/>
          <w:b/>
          <w:bCs/>
          <w:sz w:val="20"/>
          <w:szCs w:val="20"/>
        </w:rPr>
        <w:t>El aprendizaje más servicio en Chile</w:t>
      </w:r>
    </w:p>
    <w:p w14:paraId="7F16BCF8" w14:textId="1EC7BA5D" w:rsidR="00F56C65" w:rsidRPr="00254BC0" w:rsidRDefault="00F56C65" w:rsidP="0087424B">
      <w:pPr>
        <w:jc w:val="both"/>
        <w:rPr>
          <w:rFonts w:asciiTheme="majorHAnsi" w:hAnsiTheme="majorHAnsi" w:cstheme="majorHAnsi"/>
          <w:sz w:val="20"/>
          <w:szCs w:val="20"/>
        </w:rPr>
      </w:pPr>
      <w:r w:rsidRPr="00254BC0">
        <w:rPr>
          <w:rFonts w:asciiTheme="majorHAnsi" w:hAnsiTheme="majorHAnsi" w:cstheme="majorHAnsi"/>
          <w:sz w:val="20"/>
          <w:szCs w:val="20"/>
        </w:rPr>
        <w:t>Según el Ministerio de Educación de Chile el ap</w:t>
      </w:r>
      <w:r w:rsidR="00B00230" w:rsidRPr="00254BC0">
        <w:rPr>
          <w:rFonts w:asciiTheme="majorHAnsi" w:hAnsiTheme="majorHAnsi" w:cstheme="majorHAnsi"/>
          <w:sz w:val="20"/>
          <w:szCs w:val="20"/>
        </w:rPr>
        <w:t>rendizaje-servicio corresponde a:</w:t>
      </w:r>
    </w:p>
    <w:p w14:paraId="19E66CCC" w14:textId="77777777" w:rsidR="00B00230" w:rsidRPr="00254BC0" w:rsidRDefault="00F56C65" w:rsidP="0087424B">
      <w:pPr>
        <w:jc w:val="both"/>
        <w:rPr>
          <w:rFonts w:asciiTheme="majorHAnsi" w:hAnsiTheme="majorHAnsi" w:cstheme="majorHAnsi"/>
          <w:i/>
          <w:iCs/>
          <w:sz w:val="20"/>
          <w:szCs w:val="20"/>
        </w:rPr>
      </w:pPr>
      <w:r w:rsidRPr="00254BC0">
        <w:rPr>
          <w:rFonts w:asciiTheme="majorHAnsi" w:hAnsiTheme="majorHAnsi" w:cstheme="majorHAnsi"/>
          <w:i/>
          <w:iCs/>
          <w:sz w:val="20"/>
          <w:szCs w:val="20"/>
        </w:rPr>
        <w:t>“Actividades de aprendizaje comunitario planificadas desde el liceo, con la participación de la comunidad educativa y al servicio, tanto de una demanda de la comunidad como del aprendizaje de los estudiantes que la realizan. Es una experiencia que permite, a los estudiantes, aplicar conceptos, procedimientos y habilidades provenientes de los aprendizajes formales de las diversas asignaturas, en su entorno cotidiano.”</w:t>
      </w:r>
    </w:p>
    <w:p w14:paraId="4EC30D4D" w14:textId="5688E266" w:rsidR="00F56C65"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w:t>
      </w:r>
      <w:r w:rsidR="00F56C65" w:rsidRPr="00254BC0">
        <w:rPr>
          <w:rFonts w:asciiTheme="majorHAnsi" w:hAnsiTheme="majorHAnsi" w:cstheme="majorHAnsi"/>
          <w:sz w:val="20"/>
          <w:szCs w:val="20"/>
        </w:rPr>
        <w:t>Ministerio de Educación de Chile, 2007</w:t>
      </w:r>
      <w:r w:rsidRPr="00254BC0">
        <w:rPr>
          <w:rFonts w:asciiTheme="majorHAnsi" w:hAnsiTheme="majorHAnsi" w:cstheme="majorHAnsi"/>
          <w:sz w:val="20"/>
          <w:szCs w:val="20"/>
        </w:rPr>
        <w:t>)</w:t>
      </w:r>
    </w:p>
    <w:p w14:paraId="49443EB6" w14:textId="5D5949B8" w:rsidR="00B00230" w:rsidRPr="00254BC0" w:rsidRDefault="00B00230" w:rsidP="0087424B">
      <w:pPr>
        <w:pStyle w:val="Prrafodelista"/>
        <w:numPr>
          <w:ilvl w:val="0"/>
          <w:numId w:val="5"/>
        </w:numPr>
        <w:jc w:val="both"/>
        <w:rPr>
          <w:rFonts w:asciiTheme="majorHAnsi" w:hAnsiTheme="majorHAnsi" w:cstheme="majorHAnsi"/>
          <w:b/>
          <w:bCs/>
          <w:sz w:val="20"/>
          <w:szCs w:val="20"/>
        </w:rPr>
      </w:pPr>
      <w:r w:rsidRPr="00254BC0">
        <w:rPr>
          <w:rFonts w:asciiTheme="majorHAnsi" w:hAnsiTheme="majorHAnsi" w:cstheme="majorHAnsi"/>
          <w:b/>
          <w:bCs/>
          <w:sz w:val="20"/>
          <w:szCs w:val="20"/>
        </w:rPr>
        <w:t>La pertinencia geográfica en el aprendizaje más servicio</w:t>
      </w:r>
    </w:p>
    <w:p w14:paraId="5CB3A77C" w14:textId="631FC3D0" w:rsidR="00B00230"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La pertinencia geográfica es fundamental en el quehacer de las instituciones de educación superior porque permite planificar acciones en diversos contextos sociales, definiendo actores prioritarios en relación con la afiliación geográfica de proximidad. De esta forma, la pertinencia geográfica le da sentido a las iniciativas que cada institución realiza, dotando de materialidad y escenario para concretar los impactos que buscan generar. Además, para la Vinculación con el Medio, la pertinencia geográfica es fundamental para identificar los problemas de las comunidades y actores de determinada zona geográfica. Por otro lado, a través de sus funciones sustantivas, nutre el desarrollo de soluciones que se ajusten a las necesidades de esa zona específica, configurando el escenario en que se desarrollan las iniciativas.</w:t>
      </w:r>
    </w:p>
    <w:p w14:paraId="289110BD" w14:textId="28A3984E" w:rsidR="00B00230"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En este sentido, la importancia de lo local se configura en la medida en que los impactos de los programas e iniciativas se desarrollan en un horizonte socioespacial próximo a la institución y, al mismo tiempo, contribuyen a desafíos a gran escala. Por ejemplo, un programa de apoyo a la sanitización de los sistemas de Agua Potable Rural en una localidad de Chiloé, ejecutado por estudiantes, contribuye a mejorar la calidad de vida de las personas a través de la disminución de las enfermedades entéricas, al Objetivo de Desarrollo Sostenible N°6 “Agua limpia y saneamiento”, y a entregar experiencias de aprendizaje significativo para su perfil profesional.</w:t>
      </w:r>
    </w:p>
    <w:p w14:paraId="603BF1B5" w14:textId="14086434" w:rsidR="00B00230"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En síntesis, la pertinencia geográfica se relaciona con el despliegue de las instituciones de educación superior y las demandas y expectativas de zonas geográficas específicas, atendiendo a sus dimensiones políticas, económicas, sociales y culturales. Esto nos invita a reflexionar sobre las dinámicas y complejidades de cada espacio, sus problemáticas y potencialidades, así como a la búsqueda de mecanismos y modos que surtan efectos de cambio social para aportar a su desarrollo.</w:t>
      </w:r>
    </w:p>
    <w:p w14:paraId="20F8EA0C" w14:textId="63FB5248" w:rsidR="00B00230"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Con todo, se advierte la necesidad de desarrollar iniciativas que integren la metodología de aprendizaje-servicio siguiendo criterios de pertinencia geográfica para responder a las brechas del entorno.</w:t>
      </w:r>
    </w:p>
    <w:p w14:paraId="3B908021" w14:textId="323DDEAF" w:rsidR="00B00230" w:rsidRPr="00254BC0" w:rsidRDefault="00B00230" w:rsidP="0087424B">
      <w:pPr>
        <w:pStyle w:val="Prrafodelista"/>
        <w:numPr>
          <w:ilvl w:val="0"/>
          <w:numId w:val="5"/>
        </w:numPr>
        <w:jc w:val="both"/>
        <w:rPr>
          <w:rFonts w:asciiTheme="majorHAnsi" w:hAnsiTheme="majorHAnsi" w:cstheme="majorHAnsi"/>
          <w:b/>
          <w:bCs/>
          <w:sz w:val="20"/>
          <w:szCs w:val="20"/>
        </w:rPr>
      </w:pPr>
      <w:r w:rsidRPr="00254BC0">
        <w:rPr>
          <w:rFonts w:asciiTheme="majorHAnsi" w:hAnsiTheme="majorHAnsi" w:cstheme="majorHAnsi"/>
          <w:b/>
          <w:bCs/>
          <w:sz w:val="20"/>
          <w:szCs w:val="20"/>
        </w:rPr>
        <w:t>La pertinencia disciplinar en el aprendizaje más servicio</w:t>
      </w:r>
    </w:p>
    <w:p w14:paraId="0CA720C2" w14:textId="4B722E88" w:rsidR="00B00230" w:rsidRPr="00254BC0" w:rsidRDefault="00B00230" w:rsidP="0087424B">
      <w:pPr>
        <w:jc w:val="both"/>
        <w:rPr>
          <w:rFonts w:asciiTheme="majorHAnsi" w:hAnsiTheme="majorHAnsi" w:cstheme="majorHAnsi"/>
          <w:sz w:val="20"/>
          <w:szCs w:val="20"/>
        </w:rPr>
      </w:pPr>
      <w:r w:rsidRPr="00254BC0">
        <w:rPr>
          <w:rFonts w:asciiTheme="majorHAnsi" w:hAnsiTheme="majorHAnsi" w:cstheme="majorHAnsi"/>
          <w:sz w:val="20"/>
          <w:szCs w:val="20"/>
        </w:rPr>
        <w:t>La pertinencia disciplinar viene dada por el nexo entre las necesidades del entorno y la posibilidad de responderlas a través de las habilidades y competencias que un modulo curricular busca enseñar a los estudiantes.</w:t>
      </w:r>
    </w:p>
    <w:p w14:paraId="767000E7" w14:textId="778517E5" w:rsidR="00254BC0" w:rsidRPr="00254BC0" w:rsidRDefault="00254BC0" w:rsidP="0087424B">
      <w:pPr>
        <w:pStyle w:val="Prrafodelista"/>
        <w:numPr>
          <w:ilvl w:val="0"/>
          <w:numId w:val="5"/>
        </w:numPr>
        <w:jc w:val="both"/>
        <w:rPr>
          <w:rFonts w:asciiTheme="majorHAnsi" w:hAnsiTheme="majorHAnsi" w:cstheme="majorHAnsi"/>
          <w:b/>
          <w:bCs/>
          <w:sz w:val="20"/>
          <w:szCs w:val="20"/>
        </w:rPr>
      </w:pPr>
      <w:r w:rsidRPr="00254BC0">
        <w:rPr>
          <w:rFonts w:asciiTheme="majorHAnsi" w:hAnsiTheme="majorHAnsi" w:cstheme="majorHAnsi"/>
          <w:b/>
          <w:bCs/>
          <w:sz w:val="20"/>
          <w:szCs w:val="20"/>
        </w:rPr>
        <w:t>De experiencias individuales a la institucionalización del aprendizaje-servicio</w:t>
      </w:r>
    </w:p>
    <w:p w14:paraId="3DFFDCB5" w14:textId="77777777" w:rsidR="00254BC0" w:rsidRPr="00254BC0" w:rsidRDefault="00254BC0"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Según </w:t>
      </w:r>
      <w:proofErr w:type="spellStart"/>
      <w:r w:rsidRPr="00254BC0">
        <w:rPr>
          <w:rFonts w:asciiTheme="majorHAnsi" w:hAnsiTheme="majorHAnsi" w:cstheme="majorHAnsi"/>
          <w:sz w:val="20"/>
          <w:szCs w:val="20"/>
        </w:rPr>
        <w:t>Furco</w:t>
      </w:r>
      <w:proofErr w:type="spellEnd"/>
      <w:r w:rsidRPr="00254BC0">
        <w:rPr>
          <w:rFonts w:asciiTheme="majorHAnsi" w:hAnsiTheme="majorHAnsi" w:cstheme="majorHAnsi"/>
          <w:sz w:val="20"/>
          <w:szCs w:val="20"/>
        </w:rPr>
        <w:t xml:space="preserve"> y </w:t>
      </w:r>
      <w:proofErr w:type="spellStart"/>
      <w:r w:rsidRPr="00254BC0">
        <w:rPr>
          <w:rFonts w:asciiTheme="majorHAnsi" w:hAnsiTheme="majorHAnsi" w:cstheme="majorHAnsi"/>
          <w:sz w:val="20"/>
          <w:szCs w:val="20"/>
        </w:rPr>
        <w:t>Holland</w:t>
      </w:r>
      <w:proofErr w:type="spellEnd"/>
      <w:r w:rsidRPr="00254BC0">
        <w:rPr>
          <w:rFonts w:asciiTheme="majorHAnsi" w:hAnsiTheme="majorHAnsi" w:cstheme="majorHAnsi"/>
          <w:sz w:val="20"/>
          <w:szCs w:val="20"/>
        </w:rPr>
        <w:t xml:space="preserve"> (2004), la institucionalización del aprendizaje-servicio se define:</w:t>
      </w:r>
    </w:p>
    <w:p w14:paraId="47F2B4EF" w14:textId="055E5C9F" w:rsidR="00254BC0" w:rsidRPr="00254BC0" w:rsidRDefault="00254BC0" w:rsidP="0087424B">
      <w:pPr>
        <w:jc w:val="both"/>
        <w:rPr>
          <w:rFonts w:asciiTheme="majorHAnsi" w:hAnsiTheme="majorHAnsi" w:cstheme="majorHAnsi"/>
          <w:i/>
          <w:iCs/>
          <w:sz w:val="20"/>
          <w:szCs w:val="20"/>
        </w:rPr>
      </w:pPr>
      <w:r w:rsidRPr="00254BC0">
        <w:rPr>
          <w:rFonts w:asciiTheme="majorHAnsi" w:hAnsiTheme="majorHAnsi" w:cstheme="majorHAnsi"/>
          <w:i/>
          <w:iCs/>
          <w:sz w:val="20"/>
          <w:szCs w:val="20"/>
        </w:rPr>
        <w:lastRenderedPageBreak/>
        <w:t>“Como la mayoría de las iniciativas educativas, el aprendizaje-servicio alcanza la institucionalización cuando se convierte en una parte permanente, esperada, valorada y legítima del centro intelectual y organizacional de la cultura de la institución. Sin embargo, en comparación con otras iniciativas, la institucionalización del aprendizaje-servicio presenta algunas características propias que desafían las concepciones tradicionales de ‘institucionalización’. Específicamente, su estructura multifacética y multidisciplinaria y el amplio impacto institucional que genera requiere de los equipos directivos pensar en forma innovadora cómo institucionalizar esta iniciativa educativa.”</w:t>
      </w:r>
    </w:p>
    <w:p w14:paraId="41CDD9E6" w14:textId="75470556" w:rsidR="00254BC0" w:rsidRPr="00254BC0" w:rsidRDefault="00254BC0"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En esta línea, </w:t>
      </w:r>
      <w:proofErr w:type="spellStart"/>
      <w:r w:rsidRPr="00254BC0">
        <w:rPr>
          <w:rFonts w:asciiTheme="majorHAnsi" w:hAnsiTheme="majorHAnsi" w:cstheme="majorHAnsi"/>
          <w:sz w:val="20"/>
          <w:szCs w:val="20"/>
        </w:rPr>
        <w:t>Furco</w:t>
      </w:r>
      <w:proofErr w:type="spellEnd"/>
      <w:r w:rsidRPr="00254BC0">
        <w:rPr>
          <w:rFonts w:asciiTheme="majorHAnsi" w:hAnsiTheme="majorHAnsi" w:cstheme="majorHAnsi"/>
          <w:sz w:val="20"/>
          <w:szCs w:val="20"/>
        </w:rPr>
        <w:t xml:space="preserve"> (2011) declara etapas en la institucionalización del aprendizaje-servicio: creación de masa crítica, construcción de calidad e institucionalización sustentable</w:t>
      </w:r>
    </w:p>
    <w:p w14:paraId="0592CDC1" w14:textId="415E6876" w:rsidR="006A1BE1" w:rsidRPr="00254BC0" w:rsidRDefault="006A1BE1" w:rsidP="0087424B">
      <w:pPr>
        <w:pStyle w:val="Prrafodelista"/>
        <w:numPr>
          <w:ilvl w:val="0"/>
          <w:numId w:val="5"/>
        </w:numPr>
        <w:jc w:val="both"/>
        <w:rPr>
          <w:rFonts w:asciiTheme="majorHAnsi" w:hAnsiTheme="majorHAnsi" w:cstheme="majorHAnsi"/>
          <w:b/>
          <w:bCs/>
          <w:sz w:val="20"/>
          <w:szCs w:val="20"/>
        </w:rPr>
      </w:pPr>
      <w:r w:rsidRPr="00254BC0">
        <w:rPr>
          <w:rFonts w:asciiTheme="majorHAnsi" w:hAnsiTheme="majorHAnsi" w:cstheme="majorHAnsi"/>
          <w:b/>
          <w:bCs/>
          <w:sz w:val="20"/>
          <w:szCs w:val="20"/>
        </w:rPr>
        <w:t>El aprendizaje más servicio en el Instituto Profesional AIEP</w:t>
      </w:r>
    </w:p>
    <w:p w14:paraId="3F6FEC93" w14:textId="77777777" w:rsidR="006A1BE1" w:rsidRPr="00254BC0" w:rsidRDefault="006A1BE1" w:rsidP="0087424B">
      <w:pPr>
        <w:pStyle w:val="xmsonormal"/>
        <w:spacing w:before="0" w:beforeAutospacing="0" w:after="0" w:afterAutospacing="0"/>
        <w:jc w:val="both"/>
        <w:rPr>
          <w:rFonts w:asciiTheme="majorHAnsi" w:hAnsiTheme="majorHAnsi" w:cstheme="majorHAnsi"/>
          <w:color w:val="212121"/>
          <w:sz w:val="20"/>
          <w:szCs w:val="20"/>
        </w:rPr>
      </w:pPr>
      <w:r w:rsidRPr="00254BC0">
        <w:rPr>
          <w:rFonts w:asciiTheme="majorHAnsi" w:hAnsiTheme="majorHAnsi" w:cstheme="majorHAnsi"/>
          <w:color w:val="212121"/>
          <w:sz w:val="20"/>
          <w:szCs w:val="20"/>
        </w:rPr>
        <w:t>La actual política de vinculación con el medio de AIEP es producto de más de 10 años de evolución y madurez en la implementación de diferentes acciones, con un relacionamiento continuo con el sector productivo y de servicios -propio del quehacer de los institutos profesionales-.</w:t>
      </w:r>
    </w:p>
    <w:p w14:paraId="43D3ABB4"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p>
    <w:p w14:paraId="2A6EEC3D" w14:textId="77777777" w:rsidR="006A1BE1" w:rsidRPr="00254BC0" w:rsidRDefault="006A1BE1" w:rsidP="0087424B">
      <w:pPr>
        <w:pStyle w:val="xmsonormal"/>
        <w:spacing w:before="0" w:beforeAutospacing="0" w:after="0" w:afterAutospacing="0"/>
        <w:jc w:val="both"/>
        <w:rPr>
          <w:rFonts w:asciiTheme="majorHAnsi" w:hAnsiTheme="majorHAnsi" w:cstheme="majorHAnsi"/>
          <w:color w:val="212121"/>
          <w:sz w:val="20"/>
          <w:szCs w:val="20"/>
          <w:lang w:val="es-ES"/>
        </w:rPr>
      </w:pPr>
      <w:r w:rsidRPr="00254BC0">
        <w:rPr>
          <w:rFonts w:asciiTheme="majorHAnsi" w:hAnsiTheme="majorHAnsi" w:cstheme="majorHAnsi"/>
          <w:color w:val="212121"/>
          <w:sz w:val="20"/>
          <w:szCs w:val="20"/>
          <w:lang w:val="es-ES"/>
        </w:rPr>
        <w:t>Como resultado de esta trayectoria, aprendizaje, conocimiento y retroalimentación, AIEP trabaja en el marco de un modelo de vinculación con el medio que se distingue por considerar en sus definiciones, la articulación del desarrollo de competencias profesionales de los estudiantes con las brechas del entorno en que se sitúan las sedes. Es en este marco que se desarrolla un programa de aprendizaje y servicio.</w:t>
      </w:r>
    </w:p>
    <w:p w14:paraId="7C699D73" w14:textId="77777777" w:rsidR="006A1BE1" w:rsidRPr="00254BC0" w:rsidRDefault="006A1BE1" w:rsidP="0087424B">
      <w:pPr>
        <w:pStyle w:val="xmsonormal"/>
        <w:spacing w:before="0" w:beforeAutospacing="0" w:after="0" w:afterAutospacing="0"/>
        <w:jc w:val="both"/>
        <w:rPr>
          <w:rFonts w:asciiTheme="majorHAnsi" w:hAnsiTheme="majorHAnsi" w:cstheme="majorHAnsi"/>
          <w:color w:val="212121"/>
          <w:sz w:val="20"/>
          <w:szCs w:val="20"/>
          <w:lang w:val="es-ES"/>
        </w:rPr>
      </w:pPr>
    </w:p>
    <w:p w14:paraId="7ACA34F1"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Desde 2015 a la fecha, más de 100.000 estudiantes del Instituto Profesional AIEP han cursado módulos de aprendizaje más servicio. Estos módulos buscan promover instancias en las que estudiantes y docentes trabajen en el diseño y ampliación de soluciones a necesidades específicas que contribuyan al logro del perfil de egreso y aporta al desarrollo social y calidad de vida de los grupos de interés. De esta forma, en AIEP, el aprendizaje más servicio se presenta como una herramienta que permite responder a la vinculación con el medio en tres dimensiones:</w:t>
      </w:r>
    </w:p>
    <w:p w14:paraId="3A5DFE9B" w14:textId="77777777" w:rsidR="006A1BE1" w:rsidRPr="00254BC0" w:rsidRDefault="006A1BE1" w:rsidP="0087424B">
      <w:pPr>
        <w:pStyle w:val="Prrafodelista"/>
        <w:numPr>
          <w:ilvl w:val="0"/>
          <w:numId w:val="4"/>
        </w:numPr>
        <w:spacing w:line="256" w:lineRule="auto"/>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Académica, donde la experiencia real refuerza los aprendizajes del estudiante de manera integral;</w:t>
      </w:r>
    </w:p>
    <w:p w14:paraId="42FD604B" w14:textId="77777777" w:rsidR="006A1BE1" w:rsidRPr="00254BC0" w:rsidRDefault="006A1BE1" w:rsidP="0087424B">
      <w:pPr>
        <w:pStyle w:val="Prrafodelista"/>
        <w:numPr>
          <w:ilvl w:val="0"/>
          <w:numId w:val="4"/>
        </w:numPr>
        <w:spacing w:line="256" w:lineRule="auto"/>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Calidad del servicio y solución real, frente a las necesidades de las comunidades;</w:t>
      </w:r>
    </w:p>
    <w:p w14:paraId="0D63EAE0" w14:textId="77777777" w:rsidR="006A1BE1" w:rsidRPr="00254BC0" w:rsidRDefault="006A1BE1" w:rsidP="0087424B">
      <w:pPr>
        <w:pStyle w:val="Prrafodelista"/>
        <w:numPr>
          <w:ilvl w:val="0"/>
          <w:numId w:val="4"/>
        </w:numPr>
        <w:spacing w:line="256" w:lineRule="auto"/>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Desarrollo de habilidades personales y sociales, un equilibrio entre el desarrollo de competencias específicas, sociales e individuales del estudiante</w:t>
      </w:r>
    </w:p>
    <w:p w14:paraId="4D364DBE"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Actualmente, AIEP considera </w:t>
      </w:r>
      <w:r w:rsidRPr="00254BC0">
        <w:rPr>
          <w:rFonts w:asciiTheme="majorHAnsi" w:hAnsiTheme="majorHAnsi" w:cstheme="majorHAnsi"/>
          <w:color w:val="212121"/>
          <w:sz w:val="20"/>
          <w:szCs w:val="20"/>
        </w:rPr>
        <w:t>actividades A+S en todas sus carreras transformándola en una de las instituciones de educación superior con la mayor cantidad de estudiantes participando anualmente en este tipo de metodología (más de 30 mil al año). </w:t>
      </w:r>
    </w:p>
    <w:p w14:paraId="37515EF8"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p>
    <w:p w14:paraId="47B52DFB"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De esta forma, se desarrollan proyectos que contribuyen al logro del perfil de egreso y aseguran la pertinencia de la oferta educativa, y, a la vez, aporten al desarrollo social, productivo y/o profesional de nuestro entorno. Además, articula las funciones misionales, lo que permite enriquecer la experiencia de aprendizaje de los estudiantes, fortalece la labor docente y contribuye a la innovación, utilizando los resultados obtenidos en las actividades de vinculación con el medio para mejorar la calidad y pertinencia de la docencia que imparten.</w:t>
      </w:r>
    </w:p>
    <w:p w14:paraId="0CB1C084"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r w:rsidRPr="00254BC0">
        <w:rPr>
          <w:rFonts w:asciiTheme="majorHAnsi" w:hAnsiTheme="majorHAnsi" w:cstheme="majorHAnsi"/>
          <w:color w:val="212121"/>
          <w:sz w:val="20"/>
          <w:szCs w:val="20"/>
        </w:rPr>
        <w:t> </w:t>
      </w:r>
    </w:p>
    <w:p w14:paraId="1A3342A0" w14:textId="77777777" w:rsidR="006A1BE1" w:rsidRPr="00254BC0" w:rsidRDefault="006A1BE1" w:rsidP="0087424B">
      <w:pPr>
        <w:pStyle w:val="xmsonormal"/>
        <w:spacing w:before="0" w:beforeAutospacing="0" w:after="0" w:afterAutospacing="0"/>
        <w:jc w:val="both"/>
        <w:rPr>
          <w:rFonts w:asciiTheme="majorHAnsi" w:hAnsiTheme="majorHAnsi" w:cstheme="majorHAnsi"/>
          <w:color w:val="212121"/>
          <w:sz w:val="20"/>
          <w:szCs w:val="20"/>
          <w:lang w:val="es-ES"/>
        </w:rPr>
      </w:pPr>
      <w:r w:rsidRPr="00254BC0">
        <w:rPr>
          <w:rFonts w:asciiTheme="majorHAnsi" w:hAnsiTheme="majorHAnsi" w:cstheme="majorHAnsi"/>
          <w:color w:val="212121"/>
          <w:sz w:val="20"/>
          <w:szCs w:val="20"/>
          <w:lang w:val="es-ES"/>
        </w:rPr>
        <w:t>Esta ponencia busca introducir, a través de ejemplos de iniciativas, cómo la institución gestiona sus estrategias de relacionamiento con el entorno a través de un programa de aprendizaje y servicio. Dentro de la estrategia se considera el trabajo colaborativo del área académica para identificar proyectos que se alineen a las competencias profesionales a desarrollar en el currículum estudiantil, así como una plataforma de registro y sistematización de datos que facilita el seguimiento de iniciativas y el nexo con objetivos de desarrollo sostenibles.</w:t>
      </w:r>
    </w:p>
    <w:p w14:paraId="3B8FB038" w14:textId="77777777" w:rsidR="006A1BE1" w:rsidRPr="00254BC0" w:rsidRDefault="006A1BE1" w:rsidP="0087424B">
      <w:pPr>
        <w:pStyle w:val="xmsonormal"/>
        <w:spacing w:before="0" w:beforeAutospacing="0" w:after="0" w:afterAutospacing="0"/>
        <w:jc w:val="both"/>
        <w:rPr>
          <w:rFonts w:asciiTheme="majorHAnsi" w:hAnsiTheme="majorHAnsi" w:cstheme="majorHAnsi"/>
          <w:color w:val="212121"/>
          <w:sz w:val="20"/>
          <w:szCs w:val="20"/>
          <w:lang w:val="es-ES"/>
        </w:rPr>
      </w:pPr>
    </w:p>
    <w:p w14:paraId="126821BF"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r w:rsidRPr="00254BC0">
        <w:rPr>
          <w:rFonts w:asciiTheme="majorHAnsi" w:hAnsiTheme="majorHAnsi" w:cstheme="majorHAnsi"/>
          <w:color w:val="212121"/>
          <w:sz w:val="20"/>
          <w:szCs w:val="20"/>
          <w:lang w:val="es-ES"/>
        </w:rPr>
        <w:t>A continuación,</w:t>
      </w:r>
      <w:r w:rsidRPr="00254BC0">
        <w:rPr>
          <w:rFonts w:asciiTheme="majorHAnsi" w:hAnsiTheme="majorHAnsi" w:cstheme="majorHAnsi"/>
          <w:sz w:val="20"/>
          <w:szCs w:val="20"/>
        </w:rPr>
        <w:t xml:space="preserve"> se explicitan dos iniciativas trabajadas durante el 2021 y que a lo largo de la ponencia se pretenden explicar desde el levantamiento de brechas del entorno y los mecanismos de relacionamiento que establece la institución para el efectivo desarrollo de proyectos con la comunidad.</w:t>
      </w:r>
    </w:p>
    <w:p w14:paraId="3FE36837" w14:textId="77777777" w:rsidR="006A1BE1" w:rsidRPr="00254BC0" w:rsidRDefault="006A1BE1" w:rsidP="0087424B">
      <w:pPr>
        <w:pStyle w:val="xmsonormal"/>
        <w:spacing w:before="0" w:beforeAutospacing="0" w:after="0" w:afterAutospacing="0"/>
        <w:jc w:val="both"/>
        <w:rPr>
          <w:rFonts w:asciiTheme="majorHAnsi" w:hAnsiTheme="majorHAnsi" w:cstheme="majorHAnsi"/>
          <w:sz w:val="20"/>
          <w:szCs w:val="20"/>
        </w:rPr>
      </w:pPr>
    </w:p>
    <w:p w14:paraId="1221D8EE" w14:textId="77777777" w:rsidR="006A1BE1" w:rsidRPr="00254BC0" w:rsidRDefault="006A1BE1" w:rsidP="0087424B">
      <w:pPr>
        <w:jc w:val="both"/>
        <w:rPr>
          <w:rFonts w:asciiTheme="majorHAnsi" w:hAnsiTheme="majorHAnsi" w:cstheme="majorHAnsi"/>
          <w:b/>
          <w:bCs/>
          <w:sz w:val="20"/>
          <w:szCs w:val="20"/>
          <w:lang w:val="es-ES"/>
        </w:rPr>
      </w:pPr>
      <w:r w:rsidRPr="00254BC0">
        <w:rPr>
          <w:rFonts w:asciiTheme="majorHAnsi" w:hAnsiTheme="majorHAnsi" w:cstheme="majorHAnsi"/>
          <w:b/>
          <w:bCs/>
          <w:sz w:val="20"/>
          <w:szCs w:val="20"/>
          <w:lang w:val="es-ES"/>
        </w:rPr>
        <w:t>Energía segura en aulas sostenibles</w:t>
      </w:r>
    </w:p>
    <w:p w14:paraId="378BD8DC" w14:textId="77777777" w:rsidR="006A1BE1" w:rsidRPr="00254BC0" w:rsidRDefault="006A1BE1" w:rsidP="0087424B">
      <w:pPr>
        <w:jc w:val="both"/>
        <w:rPr>
          <w:rFonts w:asciiTheme="majorHAnsi" w:hAnsiTheme="majorHAnsi" w:cstheme="majorHAnsi"/>
          <w:sz w:val="20"/>
          <w:szCs w:val="20"/>
          <w:lang w:val="es-ES"/>
        </w:rPr>
      </w:pPr>
      <w:r w:rsidRPr="00254BC0">
        <w:rPr>
          <w:rFonts w:asciiTheme="majorHAnsi" w:hAnsiTheme="majorHAnsi" w:cstheme="majorHAnsi"/>
          <w:sz w:val="20"/>
          <w:szCs w:val="20"/>
          <w:lang w:val="es-ES"/>
        </w:rPr>
        <w:t xml:space="preserve">En el año 2021, la Escuela de Construcción e Ingeniería, a través de la carrera Técnico de Nivel Superior en Electricidad y Electrónica, desarrollaron el proyecto “Energía segura en aulas sostenibles”. El proyecto -que toma como referencia el modelo finlandés de educación y se encuentra alineado a los Objetivos de Desarrollo Sostenible de Naciones Unidas (ODS)- busca impulsar el aprendizaje de estudiantes de sectores vulnerables del país con métodos y herramientas para el despliegue de una educación sostenible. De esta forma, el proyecto pretende empoderar a las y los jóvenes en la creación e implementación de proyectos ambientales y sociales para su comunidad.  </w:t>
      </w:r>
    </w:p>
    <w:p w14:paraId="0B0B44D2" w14:textId="77777777" w:rsidR="006A1BE1" w:rsidRPr="00254BC0" w:rsidRDefault="006A1BE1" w:rsidP="0087424B">
      <w:pPr>
        <w:jc w:val="both"/>
        <w:rPr>
          <w:rFonts w:asciiTheme="majorHAnsi" w:hAnsiTheme="majorHAnsi" w:cstheme="majorHAnsi"/>
          <w:sz w:val="20"/>
          <w:szCs w:val="20"/>
          <w:lang w:val="es-ES"/>
        </w:rPr>
      </w:pPr>
      <w:r w:rsidRPr="00254BC0">
        <w:rPr>
          <w:rFonts w:asciiTheme="majorHAnsi" w:hAnsiTheme="majorHAnsi" w:cstheme="majorHAnsi"/>
          <w:sz w:val="20"/>
          <w:szCs w:val="20"/>
          <w:lang w:val="es-ES"/>
        </w:rPr>
        <w:t xml:space="preserve">En una primera etapa, docentes AIEP, trabajaron en capacitaciones sobre sustentabilidad e implementación eléctrica social con 26 estudiantes AIEP y 45 alumnos de una escuela secundaria. El programa piloto desarrollado es un proyecto inédito en torno a la educación para la construcción de un futuro sostenible. Dentro de los resultados se advierte que la implementación eléctrica ayudará con la seguridad en el aula y en hogares de los estudiantes, así como reducir el porcentaje de energía más utilizada por artefactos en mal estado. </w:t>
      </w:r>
    </w:p>
    <w:p w14:paraId="4A5BD80C" w14:textId="77777777" w:rsidR="006A1BE1" w:rsidRPr="00254BC0" w:rsidRDefault="006A1BE1" w:rsidP="0087424B">
      <w:pPr>
        <w:jc w:val="both"/>
        <w:rPr>
          <w:rFonts w:asciiTheme="majorHAnsi" w:hAnsiTheme="majorHAnsi" w:cstheme="majorHAnsi"/>
          <w:b/>
          <w:bCs/>
          <w:sz w:val="20"/>
          <w:szCs w:val="20"/>
          <w:lang w:val="es-ES"/>
        </w:rPr>
      </w:pPr>
      <w:r w:rsidRPr="00254BC0">
        <w:rPr>
          <w:rFonts w:asciiTheme="majorHAnsi" w:hAnsiTheme="majorHAnsi" w:cstheme="majorHAnsi"/>
          <w:b/>
          <w:bCs/>
          <w:sz w:val="20"/>
          <w:szCs w:val="20"/>
          <w:lang w:val="es-ES"/>
        </w:rPr>
        <w:t>Rincón de fomento lector</w:t>
      </w:r>
    </w:p>
    <w:p w14:paraId="407C2132" w14:textId="77777777" w:rsidR="006A1BE1" w:rsidRPr="00254BC0" w:rsidRDefault="006A1BE1" w:rsidP="0087424B">
      <w:pPr>
        <w:jc w:val="both"/>
        <w:rPr>
          <w:rFonts w:asciiTheme="majorHAnsi" w:hAnsiTheme="majorHAnsi" w:cstheme="majorHAnsi"/>
          <w:sz w:val="20"/>
          <w:szCs w:val="20"/>
          <w:lang w:val="es-ES"/>
        </w:rPr>
      </w:pPr>
      <w:r w:rsidRPr="00254BC0">
        <w:rPr>
          <w:rFonts w:asciiTheme="majorHAnsi" w:hAnsiTheme="majorHAnsi" w:cstheme="majorHAnsi"/>
          <w:sz w:val="20"/>
          <w:szCs w:val="20"/>
          <w:lang w:val="es-ES"/>
        </w:rPr>
        <w:t xml:space="preserve">En el año 2021, la Escuela de Desarrollo Social, a través de la carrera Asistente de Párvulos, desarrollaron el proyecto “Rincón de fomento lector” en apoyo a la Fundación Construyendo Futuro. El proyecto considera la implementación de un espacio de fomento lector (biblioteca escolar) y 26 estudiantes participaron en la planificación, diseño y confección de materiales y recursos didácticos, acompañamiento para el desarrollo de habilidades lectoras y de expresión oral en </w:t>
      </w:r>
      <w:proofErr w:type="gramStart"/>
      <w:r w:rsidRPr="00254BC0">
        <w:rPr>
          <w:rFonts w:asciiTheme="majorHAnsi" w:hAnsiTheme="majorHAnsi" w:cstheme="majorHAnsi"/>
          <w:sz w:val="20"/>
          <w:szCs w:val="20"/>
          <w:lang w:val="es-ES"/>
        </w:rPr>
        <w:t>niños y niñas</w:t>
      </w:r>
      <w:proofErr w:type="gramEnd"/>
      <w:r w:rsidRPr="00254BC0">
        <w:rPr>
          <w:rFonts w:asciiTheme="majorHAnsi" w:hAnsiTheme="majorHAnsi" w:cstheme="majorHAnsi"/>
          <w:sz w:val="20"/>
          <w:szCs w:val="20"/>
          <w:lang w:val="es-ES"/>
        </w:rPr>
        <w:t xml:space="preserve">, además de potenciar la comprensión lectora y el gusto por la lectura en niños, niñas y sus familias. </w:t>
      </w:r>
    </w:p>
    <w:p w14:paraId="40B373D8" w14:textId="1083CF3A" w:rsidR="006A1BE1" w:rsidRPr="00254BC0" w:rsidRDefault="006A1BE1" w:rsidP="0087424B">
      <w:pPr>
        <w:jc w:val="both"/>
        <w:rPr>
          <w:rFonts w:asciiTheme="majorHAnsi" w:hAnsiTheme="majorHAnsi" w:cstheme="majorHAnsi"/>
          <w:sz w:val="20"/>
          <w:szCs w:val="20"/>
          <w:lang w:val="es-ES"/>
        </w:rPr>
      </w:pPr>
      <w:r w:rsidRPr="00254BC0">
        <w:rPr>
          <w:rFonts w:asciiTheme="majorHAnsi" w:hAnsiTheme="majorHAnsi" w:cstheme="majorHAnsi"/>
          <w:sz w:val="20"/>
          <w:szCs w:val="20"/>
          <w:lang w:val="es-ES"/>
        </w:rPr>
        <w:t>Dentro de los resultados de la iniciativa se observa la revalorización de la lectura y el comportamiento lector en la primera infancia, junto con la sensibilización familiar respecto a hábito lector y las oportunidades de aprendizaje que se apertura en torno a esta práctica.</w:t>
      </w:r>
    </w:p>
    <w:p w14:paraId="78FC1C2B" w14:textId="4BA79E7E" w:rsidR="006A1BE1" w:rsidRPr="00254BC0" w:rsidRDefault="006A1BE1" w:rsidP="0087424B">
      <w:pPr>
        <w:jc w:val="both"/>
        <w:rPr>
          <w:rFonts w:asciiTheme="majorHAnsi" w:hAnsiTheme="majorHAnsi" w:cstheme="majorHAnsi"/>
          <w:b/>
          <w:bCs/>
          <w:sz w:val="20"/>
          <w:szCs w:val="20"/>
        </w:rPr>
      </w:pPr>
      <w:r w:rsidRPr="00254BC0">
        <w:rPr>
          <w:rFonts w:asciiTheme="majorHAnsi" w:hAnsiTheme="majorHAnsi" w:cstheme="majorHAnsi"/>
          <w:b/>
          <w:bCs/>
          <w:sz w:val="20"/>
          <w:szCs w:val="20"/>
        </w:rPr>
        <w:t>Conclusiones</w:t>
      </w:r>
    </w:p>
    <w:p w14:paraId="2B1CBB3F" w14:textId="77777777" w:rsidR="00DE7F2A" w:rsidRPr="00254BC0" w:rsidRDefault="00DE7F2A"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Las conclusiones de la ponencia se pueden clasificar en dos aspectos fundamentales dentro de la metodología de aprendizaje más servicio y la vinculación con el medio. </w:t>
      </w:r>
    </w:p>
    <w:p w14:paraId="78781A1E" w14:textId="705E2417" w:rsidR="006A1BE1" w:rsidRPr="00254BC0" w:rsidRDefault="00DE7F2A" w:rsidP="0087424B">
      <w:pPr>
        <w:jc w:val="both"/>
        <w:rPr>
          <w:rFonts w:asciiTheme="majorHAnsi" w:hAnsiTheme="majorHAnsi" w:cstheme="majorHAnsi"/>
          <w:sz w:val="20"/>
          <w:szCs w:val="20"/>
        </w:rPr>
      </w:pPr>
      <w:r w:rsidRPr="00254BC0">
        <w:rPr>
          <w:rFonts w:asciiTheme="majorHAnsi" w:hAnsiTheme="majorHAnsi" w:cstheme="majorHAnsi"/>
          <w:sz w:val="20"/>
          <w:szCs w:val="20"/>
        </w:rPr>
        <w:t>En primer lugar, la pertinencia disciplinar del aprendizaje y servicio</w:t>
      </w:r>
      <w:r w:rsidR="00B00230" w:rsidRPr="00254BC0">
        <w:rPr>
          <w:rFonts w:asciiTheme="majorHAnsi" w:hAnsiTheme="majorHAnsi" w:cstheme="majorHAnsi"/>
          <w:sz w:val="20"/>
          <w:szCs w:val="20"/>
        </w:rPr>
        <w:t xml:space="preserve"> permite articular los aprendizajes esperados de un modulo curricular con las necesidades el entorno. De esta forma, se desarrollan iniciativas con un sentido practico para el entorno, y que se transforman en experiencias de aprendizaje significativo para cada estudiante.</w:t>
      </w:r>
    </w:p>
    <w:p w14:paraId="18CE32CD" w14:textId="607183D7" w:rsidR="00DE7F2A" w:rsidRPr="00254BC0" w:rsidRDefault="00DE7F2A" w:rsidP="0087424B">
      <w:pPr>
        <w:jc w:val="both"/>
        <w:rPr>
          <w:rFonts w:asciiTheme="majorHAnsi" w:hAnsiTheme="majorHAnsi" w:cstheme="majorHAnsi"/>
          <w:sz w:val="20"/>
          <w:szCs w:val="20"/>
        </w:rPr>
      </w:pPr>
      <w:r w:rsidRPr="00254BC0">
        <w:rPr>
          <w:rFonts w:asciiTheme="majorHAnsi" w:hAnsiTheme="majorHAnsi" w:cstheme="majorHAnsi"/>
          <w:sz w:val="20"/>
          <w:szCs w:val="20"/>
        </w:rPr>
        <w:t>En segundo lugar, la pertinencia geográfica del aprendizaje y servici</w:t>
      </w:r>
      <w:r w:rsidR="00B00230" w:rsidRPr="00254BC0">
        <w:rPr>
          <w:rFonts w:asciiTheme="majorHAnsi" w:hAnsiTheme="majorHAnsi" w:cstheme="majorHAnsi"/>
          <w:sz w:val="20"/>
          <w:szCs w:val="20"/>
        </w:rPr>
        <w:t>o permite un levantamiento de necesidades con socios-comunitarios del entorno. La pertinencia geográfica permite atender a brechas persistentes en la población y considerar la búsqueda de nuevas soluciones a través de la pertinencia disciplinar</w:t>
      </w:r>
    </w:p>
    <w:p w14:paraId="0F26D96C" w14:textId="1B7FCCA8" w:rsidR="00DE7F2A" w:rsidRPr="00254BC0" w:rsidRDefault="00DE7F2A" w:rsidP="0087424B">
      <w:pPr>
        <w:jc w:val="both"/>
        <w:rPr>
          <w:rFonts w:asciiTheme="majorHAnsi" w:hAnsiTheme="majorHAnsi" w:cstheme="majorHAnsi"/>
          <w:sz w:val="20"/>
          <w:szCs w:val="20"/>
        </w:rPr>
      </w:pPr>
      <w:r w:rsidRPr="00254BC0">
        <w:rPr>
          <w:rFonts w:asciiTheme="majorHAnsi" w:hAnsiTheme="majorHAnsi" w:cstheme="majorHAnsi"/>
          <w:sz w:val="20"/>
          <w:szCs w:val="20"/>
        </w:rPr>
        <w:t xml:space="preserve">La articulación entre pertinencia disciplinar y geográfica facilita el despliegue de las iniciativas y favorece los procesos de enseñanza y aprendizaje de nuestros estudiantes, brindando experiencias significativas para el desarrollo de competencias y habilidades que cada módulo de estudio considera. </w:t>
      </w:r>
    </w:p>
    <w:p w14:paraId="10DB1982" w14:textId="0A8FEA10" w:rsidR="00254BC0" w:rsidRPr="00254BC0" w:rsidRDefault="00254BC0" w:rsidP="0087424B">
      <w:pPr>
        <w:jc w:val="both"/>
        <w:rPr>
          <w:rFonts w:asciiTheme="majorHAnsi" w:hAnsiTheme="majorHAnsi" w:cstheme="majorHAnsi"/>
          <w:sz w:val="20"/>
          <w:szCs w:val="20"/>
        </w:rPr>
      </w:pPr>
      <w:r w:rsidRPr="00254BC0">
        <w:rPr>
          <w:rFonts w:asciiTheme="majorHAnsi" w:hAnsiTheme="majorHAnsi" w:cstheme="majorHAnsi"/>
          <w:sz w:val="20"/>
          <w:szCs w:val="20"/>
        </w:rPr>
        <w:t>Finalmente, se espera que el compartir experiencias en torno a la institucionalización del aprendizaje-servicio sea un mecanismo para promover la metodología en distintas instituciones de educación superior y generar procesos colaborativos de creación de masa crítica, construcción de calidad e institucionalización sustentable.</w:t>
      </w:r>
    </w:p>
    <w:p w14:paraId="76FB7EEC" w14:textId="0911D8F4" w:rsidR="00D06CAF" w:rsidRPr="00254BC0" w:rsidRDefault="006A1BE1" w:rsidP="0087424B">
      <w:pPr>
        <w:jc w:val="both"/>
        <w:rPr>
          <w:rFonts w:asciiTheme="majorHAnsi" w:hAnsiTheme="majorHAnsi" w:cstheme="majorHAnsi"/>
          <w:b/>
          <w:bCs/>
          <w:sz w:val="20"/>
          <w:szCs w:val="20"/>
        </w:rPr>
      </w:pPr>
      <w:r w:rsidRPr="00254BC0">
        <w:rPr>
          <w:rFonts w:asciiTheme="majorHAnsi" w:hAnsiTheme="majorHAnsi" w:cstheme="majorHAnsi"/>
          <w:b/>
          <w:bCs/>
          <w:sz w:val="20"/>
          <w:szCs w:val="20"/>
        </w:rPr>
        <w:t>Desafíos a futuro</w:t>
      </w:r>
    </w:p>
    <w:p w14:paraId="0CBCB45D" w14:textId="017F0830" w:rsidR="00254BC0" w:rsidRDefault="00254BC0" w:rsidP="0087424B">
      <w:pPr>
        <w:jc w:val="both"/>
        <w:rPr>
          <w:rFonts w:asciiTheme="majorHAnsi" w:hAnsiTheme="majorHAnsi" w:cstheme="majorHAnsi"/>
          <w:sz w:val="20"/>
          <w:szCs w:val="20"/>
        </w:rPr>
      </w:pPr>
      <w:r w:rsidRPr="00254BC0">
        <w:rPr>
          <w:rFonts w:asciiTheme="majorHAnsi" w:hAnsiTheme="majorHAnsi" w:cstheme="majorHAnsi"/>
          <w:sz w:val="20"/>
          <w:szCs w:val="20"/>
        </w:rPr>
        <w:lastRenderedPageBreak/>
        <w:t xml:space="preserve">Como desafíos a futuro se plantea la necesidad de formalizar espacios para compartir experiencias en torno a la metodología. </w:t>
      </w:r>
    </w:p>
    <w:p w14:paraId="2064A106" w14:textId="4E13DD2E" w:rsidR="00713451" w:rsidRPr="00713451" w:rsidRDefault="00713451" w:rsidP="0087424B">
      <w:pPr>
        <w:jc w:val="both"/>
        <w:rPr>
          <w:rFonts w:asciiTheme="majorHAnsi" w:hAnsiTheme="majorHAnsi" w:cstheme="majorHAnsi"/>
          <w:b/>
          <w:bCs/>
          <w:sz w:val="20"/>
          <w:szCs w:val="20"/>
        </w:rPr>
      </w:pPr>
      <w:r w:rsidRPr="00713451">
        <w:rPr>
          <w:rFonts w:asciiTheme="majorHAnsi" w:hAnsiTheme="majorHAnsi" w:cstheme="majorHAnsi"/>
          <w:b/>
          <w:bCs/>
          <w:sz w:val="20"/>
          <w:szCs w:val="20"/>
        </w:rPr>
        <w:t>Referencias</w:t>
      </w:r>
    </w:p>
    <w:p w14:paraId="3DD594C5" w14:textId="77777777" w:rsidR="00713451" w:rsidRPr="00B4701A"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r w:rsidRPr="00B4701A">
        <w:rPr>
          <w:rFonts w:asciiTheme="majorHAnsi" w:hAnsiTheme="majorHAnsi" w:cstheme="majorHAnsi"/>
          <w:color w:val="2B2B2B"/>
          <w:sz w:val="20"/>
          <w:szCs w:val="20"/>
        </w:rPr>
        <w:t xml:space="preserve">Echeverri, Rafael. Reflexiones sobre lo rural: economía rural, economía de territorios. En: DIRVEN, </w:t>
      </w:r>
      <w:proofErr w:type="spellStart"/>
      <w:r w:rsidRPr="00B4701A">
        <w:rPr>
          <w:rFonts w:asciiTheme="majorHAnsi" w:hAnsiTheme="majorHAnsi" w:cstheme="majorHAnsi"/>
          <w:color w:val="2B2B2B"/>
          <w:sz w:val="20"/>
          <w:szCs w:val="20"/>
        </w:rPr>
        <w:t>Martine</w:t>
      </w:r>
      <w:proofErr w:type="spellEnd"/>
      <w:r w:rsidRPr="00B4701A">
        <w:rPr>
          <w:rFonts w:asciiTheme="majorHAnsi" w:hAnsiTheme="majorHAnsi" w:cstheme="majorHAnsi"/>
          <w:color w:val="2B2B2B"/>
          <w:sz w:val="20"/>
          <w:szCs w:val="20"/>
        </w:rPr>
        <w:t>, et al. Hacia una nueva definición de «rural» con fines estadísticos en América Latina. Santiago, CEPAL. 2011. P. 13-20.</w:t>
      </w:r>
    </w:p>
    <w:p w14:paraId="45B91CD0" w14:textId="77777777" w:rsidR="00713451" w:rsidRPr="00B4701A"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r w:rsidRPr="00B4701A">
        <w:rPr>
          <w:rFonts w:asciiTheme="majorHAnsi" w:hAnsiTheme="majorHAnsi" w:cstheme="majorHAnsi"/>
          <w:color w:val="2B2B2B"/>
          <w:sz w:val="20"/>
          <w:szCs w:val="20"/>
        </w:rPr>
        <w:t>Fuster, Xenia. (2016). La histórica deuda de las políticas sociales: pertinencia territorial.: El caso del programa habitabilidad, Chile. Revista INVI, 31(86), 61-88. </w:t>
      </w:r>
      <w:hyperlink r:id="rId7" w:history="1">
        <w:r w:rsidRPr="00713451">
          <w:rPr>
            <w:rFonts w:asciiTheme="majorHAnsi" w:hAnsiTheme="majorHAnsi" w:cstheme="majorHAnsi"/>
            <w:color w:val="2B2B2B"/>
            <w:sz w:val="20"/>
            <w:szCs w:val="20"/>
          </w:rPr>
          <w:t>https://dx.doi.org/10.4067/S0718-83582016000100003</w:t>
        </w:r>
      </w:hyperlink>
    </w:p>
    <w:p w14:paraId="699329D5" w14:textId="77777777" w:rsidR="00713451" w:rsidRPr="00B4701A"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r w:rsidRPr="00B4701A">
        <w:rPr>
          <w:rFonts w:asciiTheme="majorHAnsi" w:hAnsiTheme="majorHAnsi" w:cstheme="majorHAnsi"/>
          <w:color w:val="2B2B2B"/>
          <w:sz w:val="20"/>
          <w:szCs w:val="20"/>
        </w:rPr>
        <w:t>Serrano, Claudia (2010). Política de desarrollo territorial en Chile. RIMISP – Centro Latinoamericano para el Desarrollo Rural</w:t>
      </w:r>
    </w:p>
    <w:p w14:paraId="4DB8BB27" w14:textId="77777777" w:rsidR="00713451" w:rsidRPr="00B4701A"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proofErr w:type="spellStart"/>
      <w:r w:rsidRPr="00713451">
        <w:rPr>
          <w:rFonts w:asciiTheme="majorHAnsi" w:hAnsiTheme="majorHAnsi" w:cstheme="majorHAnsi"/>
          <w:color w:val="2B2B2B"/>
          <w:sz w:val="20"/>
          <w:szCs w:val="20"/>
        </w:rPr>
        <w:t>Raczynski</w:t>
      </w:r>
      <w:proofErr w:type="spellEnd"/>
      <w:r w:rsidRPr="00713451">
        <w:rPr>
          <w:rFonts w:asciiTheme="majorHAnsi" w:hAnsiTheme="majorHAnsi" w:cstheme="majorHAnsi"/>
          <w:color w:val="2B2B2B"/>
          <w:sz w:val="20"/>
          <w:szCs w:val="20"/>
        </w:rPr>
        <w:t xml:space="preserve">, D. (1995) </w:t>
      </w:r>
      <w:proofErr w:type="spellStart"/>
      <w:r w:rsidRPr="00713451">
        <w:rPr>
          <w:rFonts w:asciiTheme="majorHAnsi" w:hAnsiTheme="majorHAnsi" w:cstheme="majorHAnsi"/>
          <w:color w:val="2B2B2B"/>
          <w:sz w:val="20"/>
          <w:szCs w:val="20"/>
        </w:rPr>
        <w:t>Focalizacion</w:t>
      </w:r>
      <w:proofErr w:type="spellEnd"/>
      <w:r w:rsidRPr="00713451">
        <w:rPr>
          <w:rFonts w:asciiTheme="majorHAnsi" w:hAnsiTheme="majorHAnsi" w:cstheme="majorHAnsi"/>
          <w:color w:val="2B2B2B"/>
          <w:sz w:val="20"/>
          <w:szCs w:val="20"/>
        </w:rPr>
        <w:t xml:space="preserve"> de programas sociales: Lecciones de la experiencia chilena. In: Pizarro, C., </w:t>
      </w:r>
      <w:proofErr w:type="spellStart"/>
      <w:r w:rsidRPr="00713451">
        <w:rPr>
          <w:rFonts w:asciiTheme="majorHAnsi" w:hAnsiTheme="majorHAnsi" w:cstheme="majorHAnsi"/>
          <w:color w:val="2B2B2B"/>
          <w:sz w:val="20"/>
          <w:szCs w:val="20"/>
        </w:rPr>
        <w:t>Raczynski</w:t>
      </w:r>
      <w:proofErr w:type="spellEnd"/>
      <w:r w:rsidRPr="00713451">
        <w:rPr>
          <w:rFonts w:asciiTheme="majorHAnsi" w:hAnsiTheme="majorHAnsi" w:cstheme="majorHAnsi"/>
          <w:color w:val="2B2B2B"/>
          <w:sz w:val="20"/>
          <w:szCs w:val="20"/>
        </w:rPr>
        <w:t xml:space="preserve">, D. and Vial, J., Eds., </w:t>
      </w:r>
      <w:proofErr w:type="spellStart"/>
      <w:r w:rsidRPr="00713451">
        <w:rPr>
          <w:rFonts w:asciiTheme="majorHAnsi" w:hAnsiTheme="majorHAnsi" w:cstheme="majorHAnsi"/>
          <w:color w:val="2B2B2B"/>
          <w:sz w:val="20"/>
          <w:szCs w:val="20"/>
        </w:rPr>
        <w:t>Politicas</w:t>
      </w:r>
      <w:proofErr w:type="spellEnd"/>
      <w:r w:rsidRPr="00713451">
        <w:rPr>
          <w:rFonts w:asciiTheme="majorHAnsi" w:hAnsiTheme="majorHAnsi" w:cstheme="majorHAnsi"/>
          <w:color w:val="2B2B2B"/>
          <w:sz w:val="20"/>
          <w:szCs w:val="20"/>
        </w:rPr>
        <w:t xml:space="preserve"> </w:t>
      </w:r>
      <w:proofErr w:type="spellStart"/>
      <w:r w:rsidRPr="00713451">
        <w:rPr>
          <w:rFonts w:asciiTheme="majorHAnsi" w:hAnsiTheme="majorHAnsi" w:cstheme="majorHAnsi"/>
          <w:color w:val="2B2B2B"/>
          <w:sz w:val="20"/>
          <w:szCs w:val="20"/>
        </w:rPr>
        <w:t>economicas</w:t>
      </w:r>
      <w:proofErr w:type="spellEnd"/>
      <w:r w:rsidRPr="00713451">
        <w:rPr>
          <w:rFonts w:asciiTheme="majorHAnsi" w:hAnsiTheme="majorHAnsi" w:cstheme="majorHAnsi"/>
          <w:color w:val="2B2B2B"/>
          <w:sz w:val="20"/>
          <w:szCs w:val="20"/>
        </w:rPr>
        <w:t xml:space="preserve"> y sociales en el Chile </w:t>
      </w:r>
      <w:proofErr w:type="spellStart"/>
      <w:r w:rsidRPr="00713451">
        <w:rPr>
          <w:rFonts w:asciiTheme="majorHAnsi" w:hAnsiTheme="majorHAnsi" w:cstheme="majorHAnsi"/>
          <w:color w:val="2B2B2B"/>
          <w:sz w:val="20"/>
          <w:szCs w:val="20"/>
        </w:rPr>
        <w:t>democratico</w:t>
      </w:r>
      <w:proofErr w:type="spellEnd"/>
      <w:r w:rsidRPr="00713451">
        <w:rPr>
          <w:rFonts w:asciiTheme="majorHAnsi" w:hAnsiTheme="majorHAnsi" w:cstheme="majorHAnsi"/>
          <w:color w:val="2B2B2B"/>
          <w:sz w:val="20"/>
          <w:szCs w:val="20"/>
        </w:rPr>
        <w:t>, CIEPLAN-UNICEF, Santiago.</w:t>
      </w:r>
    </w:p>
    <w:p w14:paraId="64C38F8D" w14:textId="6A2E074C" w:rsidR="00713451"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r w:rsidRPr="00974605">
        <w:rPr>
          <w:rFonts w:asciiTheme="majorHAnsi" w:hAnsiTheme="majorHAnsi" w:cstheme="majorHAnsi"/>
          <w:color w:val="2B2B2B"/>
          <w:sz w:val="20"/>
          <w:szCs w:val="20"/>
        </w:rPr>
        <w:t xml:space="preserve">FURCO, A. (2002). </w:t>
      </w:r>
      <w:proofErr w:type="spellStart"/>
      <w:r w:rsidRPr="00974605">
        <w:rPr>
          <w:rFonts w:asciiTheme="majorHAnsi" w:hAnsiTheme="majorHAnsi" w:cstheme="majorHAnsi"/>
          <w:color w:val="2B2B2B"/>
          <w:sz w:val="20"/>
          <w:szCs w:val="20"/>
        </w:rPr>
        <w:t>Institutionalizing</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service-learning</w:t>
      </w:r>
      <w:proofErr w:type="spellEnd"/>
      <w:r w:rsidRPr="00974605">
        <w:rPr>
          <w:rFonts w:asciiTheme="majorHAnsi" w:hAnsiTheme="majorHAnsi" w:cstheme="majorHAnsi"/>
          <w:color w:val="2B2B2B"/>
          <w:sz w:val="20"/>
          <w:szCs w:val="20"/>
        </w:rPr>
        <w:t xml:space="preserve"> in </w:t>
      </w:r>
      <w:proofErr w:type="spellStart"/>
      <w:r w:rsidRPr="00974605">
        <w:rPr>
          <w:rFonts w:asciiTheme="majorHAnsi" w:hAnsiTheme="majorHAnsi" w:cstheme="majorHAnsi"/>
          <w:color w:val="2B2B2B"/>
          <w:sz w:val="20"/>
          <w:szCs w:val="20"/>
        </w:rPr>
        <w:t>higher</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education</w:t>
      </w:r>
      <w:proofErr w:type="spellEnd"/>
      <w:r w:rsidRPr="00974605">
        <w:rPr>
          <w:rFonts w:asciiTheme="majorHAnsi" w:hAnsiTheme="majorHAnsi" w:cstheme="majorHAnsi"/>
          <w:color w:val="2B2B2B"/>
          <w:sz w:val="20"/>
          <w:szCs w:val="20"/>
        </w:rPr>
        <w:t xml:space="preserve">. In: </w:t>
      </w:r>
      <w:proofErr w:type="spellStart"/>
      <w:r w:rsidRPr="00974605">
        <w:rPr>
          <w:rFonts w:asciiTheme="majorHAnsi" w:hAnsiTheme="majorHAnsi" w:cstheme="majorHAnsi"/>
          <w:color w:val="2B2B2B"/>
          <w:sz w:val="20"/>
          <w:szCs w:val="20"/>
        </w:rPr>
        <w:t>Journal</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of</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Public</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Affairs</w:t>
      </w:r>
      <w:proofErr w:type="spellEnd"/>
      <w:r w:rsidRPr="00974605">
        <w:rPr>
          <w:rFonts w:asciiTheme="majorHAnsi" w:hAnsiTheme="majorHAnsi" w:cstheme="majorHAnsi"/>
          <w:color w:val="2B2B2B"/>
          <w:sz w:val="20"/>
          <w:szCs w:val="20"/>
        </w:rPr>
        <w:t>. New</w:t>
      </w:r>
      <w:r>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Directions</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for</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Higher</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Education</w:t>
      </w:r>
      <w:proofErr w:type="spellEnd"/>
      <w:r w:rsidRPr="00974605">
        <w:rPr>
          <w:rFonts w:asciiTheme="majorHAnsi" w:hAnsiTheme="majorHAnsi" w:cstheme="majorHAnsi"/>
          <w:color w:val="2B2B2B"/>
          <w:sz w:val="20"/>
          <w:szCs w:val="20"/>
        </w:rPr>
        <w:t xml:space="preserve">. </w:t>
      </w:r>
      <w:proofErr w:type="spellStart"/>
      <w:r w:rsidRPr="00974605">
        <w:rPr>
          <w:rFonts w:asciiTheme="majorHAnsi" w:hAnsiTheme="majorHAnsi" w:cstheme="majorHAnsi"/>
          <w:color w:val="2B2B2B"/>
          <w:sz w:val="20"/>
          <w:szCs w:val="20"/>
        </w:rPr>
        <w:t>Volume</w:t>
      </w:r>
      <w:proofErr w:type="spellEnd"/>
      <w:r w:rsidRPr="00974605">
        <w:rPr>
          <w:rFonts w:asciiTheme="majorHAnsi" w:hAnsiTheme="majorHAnsi" w:cstheme="majorHAnsi"/>
          <w:color w:val="2B2B2B"/>
          <w:sz w:val="20"/>
          <w:szCs w:val="20"/>
        </w:rPr>
        <w:t xml:space="preserve"> 2001, </w:t>
      </w:r>
      <w:proofErr w:type="spellStart"/>
      <w:r w:rsidRPr="00974605">
        <w:rPr>
          <w:rFonts w:asciiTheme="majorHAnsi" w:hAnsiTheme="majorHAnsi" w:cstheme="majorHAnsi"/>
          <w:color w:val="2B2B2B"/>
          <w:sz w:val="20"/>
          <w:szCs w:val="20"/>
        </w:rPr>
        <w:t>Issue</w:t>
      </w:r>
      <w:proofErr w:type="spellEnd"/>
      <w:r w:rsidRPr="00974605">
        <w:rPr>
          <w:rFonts w:asciiTheme="majorHAnsi" w:hAnsiTheme="majorHAnsi" w:cstheme="majorHAnsi"/>
          <w:color w:val="2B2B2B"/>
          <w:sz w:val="20"/>
          <w:szCs w:val="20"/>
        </w:rPr>
        <w:t xml:space="preserve"> 114, </w:t>
      </w:r>
      <w:proofErr w:type="spellStart"/>
      <w:r w:rsidRPr="00974605">
        <w:rPr>
          <w:rFonts w:asciiTheme="majorHAnsi" w:hAnsiTheme="majorHAnsi" w:cstheme="majorHAnsi"/>
          <w:color w:val="2B2B2B"/>
          <w:sz w:val="20"/>
          <w:szCs w:val="20"/>
        </w:rPr>
        <w:t>January</w:t>
      </w:r>
      <w:proofErr w:type="spellEnd"/>
      <w:r w:rsidRPr="00974605">
        <w:rPr>
          <w:rFonts w:asciiTheme="majorHAnsi" w:hAnsiTheme="majorHAnsi" w:cstheme="majorHAnsi"/>
          <w:color w:val="2B2B2B"/>
          <w:sz w:val="20"/>
          <w:szCs w:val="20"/>
        </w:rPr>
        <w:t xml:space="preserve"> 2002. John Wiley &amp; </w:t>
      </w:r>
      <w:proofErr w:type="spellStart"/>
      <w:r w:rsidRPr="00974605">
        <w:rPr>
          <w:rFonts w:asciiTheme="majorHAnsi" w:hAnsiTheme="majorHAnsi" w:cstheme="majorHAnsi"/>
          <w:color w:val="2B2B2B"/>
          <w:sz w:val="20"/>
          <w:szCs w:val="20"/>
        </w:rPr>
        <w:t>Sons</w:t>
      </w:r>
      <w:proofErr w:type="spellEnd"/>
      <w:r w:rsidRPr="00974605">
        <w:rPr>
          <w:rFonts w:asciiTheme="majorHAnsi" w:hAnsiTheme="majorHAnsi" w:cstheme="majorHAnsi"/>
          <w:color w:val="2B2B2B"/>
          <w:sz w:val="20"/>
          <w:szCs w:val="20"/>
        </w:rPr>
        <w:t xml:space="preserve"> Ltd. 6:39–47.</w:t>
      </w:r>
    </w:p>
    <w:p w14:paraId="29592AC8" w14:textId="00766039" w:rsidR="00713451" w:rsidRPr="00713451"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r w:rsidRPr="00713451">
        <w:rPr>
          <w:rFonts w:asciiTheme="majorHAnsi" w:hAnsiTheme="majorHAnsi" w:cstheme="majorHAnsi"/>
          <w:color w:val="2B2B2B"/>
          <w:sz w:val="20"/>
          <w:szCs w:val="20"/>
        </w:rPr>
        <w:t>Ministerio de Educación de Chile (2007). Manual de Aprendizaje-Servicio. Gobierno de Chile.</w:t>
      </w:r>
      <w:r w:rsidRPr="00713451">
        <w:rPr>
          <w:rFonts w:asciiTheme="majorHAnsi" w:hAnsiTheme="majorHAnsi" w:cstheme="majorHAnsi"/>
          <w:color w:val="2B2B2B"/>
          <w:sz w:val="20"/>
          <w:szCs w:val="20"/>
        </w:rPr>
        <w:t xml:space="preserve"> </w:t>
      </w:r>
      <w:hyperlink r:id="rId8" w:history="1">
        <w:r w:rsidRPr="00713451">
          <w:rPr>
            <w:rFonts w:asciiTheme="majorHAnsi" w:hAnsiTheme="majorHAnsi" w:cstheme="majorHAnsi"/>
            <w:color w:val="2B2B2B"/>
            <w:sz w:val="20"/>
            <w:szCs w:val="20"/>
          </w:rPr>
          <w:t>https://bibliotecadigital.mineduc.cl/bitstream/handle/20.500.12365/14666/aprendizajeservicio2007.pdf?sequence=1&amp;isAllowed=y</w:t>
        </w:r>
      </w:hyperlink>
    </w:p>
    <w:p w14:paraId="2208CA42" w14:textId="0A406761" w:rsidR="00713451" w:rsidRPr="00974605" w:rsidRDefault="00713451" w:rsidP="0087424B">
      <w:pPr>
        <w:numPr>
          <w:ilvl w:val="0"/>
          <w:numId w:val="6"/>
        </w:numPr>
        <w:spacing w:after="0" w:line="240" w:lineRule="auto"/>
        <w:jc w:val="both"/>
        <w:textAlignment w:val="baseline"/>
        <w:rPr>
          <w:rFonts w:asciiTheme="majorHAnsi" w:hAnsiTheme="majorHAnsi" w:cstheme="majorHAnsi"/>
          <w:color w:val="2B2B2B"/>
          <w:sz w:val="20"/>
          <w:szCs w:val="20"/>
        </w:rPr>
      </w:pPr>
      <w:r w:rsidRPr="00713451">
        <w:rPr>
          <w:rFonts w:asciiTheme="majorHAnsi" w:hAnsiTheme="majorHAnsi" w:cstheme="majorHAnsi"/>
          <w:color w:val="2B2B2B"/>
          <w:sz w:val="20"/>
          <w:szCs w:val="20"/>
        </w:rPr>
        <w:t xml:space="preserve">OSMAN, </w:t>
      </w:r>
      <w:proofErr w:type="spellStart"/>
      <w:r w:rsidRPr="00713451">
        <w:rPr>
          <w:rFonts w:asciiTheme="majorHAnsi" w:hAnsiTheme="majorHAnsi" w:cstheme="majorHAnsi"/>
          <w:color w:val="2B2B2B"/>
          <w:sz w:val="20"/>
          <w:szCs w:val="20"/>
        </w:rPr>
        <w:t>Ruksana</w:t>
      </w:r>
      <w:proofErr w:type="spellEnd"/>
      <w:r w:rsidRPr="00713451">
        <w:rPr>
          <w:rFonts w:asciiTheme="majorHAnsi" w:hAnsiTheme="majorHAnsi" w:cstheme="majorHAnsi"/>
          <w:color w:val="2B2B2B"/>
          <w:sz w:val="20"/>
          <w:szCs w:val="20"/>
        </w:rPr>
        <w:t xml:space="preserve"> y PETERSEN, Nadine (</w:t>
      </w:r>
      <w:proofErr w:type="spellStart"/>
      <w:r w:rsidRPr="00713451">
        <w:rPr>
          <w:rFonts w:asciiTheme="majorHAnsi" w:hAnsiTheme="majorHAnsi" w:cstheme="majorHAnsi"/>
          <w:color w:val="2B2B2B"/>
          <w:sz w:val="20"/>
          <w:szCs w:val="20"/>
        </w:rPr>
        <w:t>Editors</w:t>
      </w:r>
      <w:proofErr w:type="spellEnd"/>
      <w:r w:rsidRPr="00713451">
        <w:rPr>
          <w:rFonts w:asciiTheme="majorHAnsi" w:hAnsiTheme="majorHAnsi" w:cstheme="majorHAnsi"/>
          <w:color w:val="2B2B2B"/>
          <w:sz w:val="20"/>
          <w:szCs w:val="20"/>
        </w:rPr>
        <w:t xml:space="preserve">) (2013). </w:t>
      </w:r>
      <w:proofErr w:type="spellStart"/>
      <w:r w:rsidRPr="00713451">
        <w:rPr>
          <w:rFonts w:asciiTheme="majorHAnsi" w:hAnsiTheme="majorHAnsi" w:cstheme="majorHAnsi"/>
          <w:color w:val="2B2B2B"/>
          <w:sz w:val="20"/>
          <w:szCs w:val="20"/>
        </w:rPr>
        <w:t>Service-learning</w:t>
      </w:r>
      <w:proofErr w:type="spellEnd"/>
      <w:r w:rsidRPr="00713451">
        <w:rPr>
          <w:rFonts w:asciiTheme="majorHAnsi" w:hAnsiTheme="majorHAnsi" w:cstheme="majorHAnsi"/>
          <w:color w:val="2B2B2B"/>
          <w:sz w:val="20"/>
          <w:szCs w:val="20"/>
        </w:rPr>
        <w:t xml:space="preserve"> in South </w:t>
      </w:r>
      <w:proofErr w:type="spellStart"/>
      <w:r w:rsidRPr="00713451">
        <w:rPr>
          <w:rFonts w:asciiTheme="majorHAnsi" w:hAnsiTheme="majorHAnsi" w:cstheme="majorHAnsi"/>
          <w:color w:val="2B2B2B"/>
          <w:sz w:val="20"/>
          <w:szCs w:val="20"/>
        </w:rPr>
        <w:t>Africa</w:t>
      </w:r>
      <w:proofErr w:type="spellEnd"/>
      <w:r w:rsidRPr="00713451">
        <w:rPr>
          <w:rFonts w:asciiTheme="majorHAnsi" w:hAnsiTheme="majorHAnsi" w:cstheme="majorHAnsi"/>
          <w:color w:val="2B2B2B"/>
          <w:sz w:val="20"/>
          <w:szCs w:val="20"/>
        </w:rPr>
        <w:t xml:space="preserve">. Cape Town, Oxford </w:t>
      </w:r>
      <w:proofErr w:type="spellStart"/>
      <w:r w:rsidRPr="00713451">
        <w:rPr>
          <w:rFonts w:asciiTheme="majorHAnsi" w:hAnsiTheme="majorHAnsi" w:cstheme="majorHAnsi"/>
          <w:color w:val="2B2B2B"/>
          <w:sz w:val="20"/>
          <w:szCs w:val="20"/>
        </w:rPr>
        <w:t>University</w:t>
      </w:r>
      <w:proofErr w:type="spellEnd"/>
      <w:r w:rsidRPr="00713451">
        <w:rPr>
          <w:rFonts w:asciiTheme="majorHAnsi" w:hAnsiTheme="majorHAnsi" w:cstheme="majorHAnsi"/>
          <w:color w:val="2B2B2B"/>
          <w:sz w:val="20"/>
          <w:szCs w:val="20"/>
        </w:rPr>
        <w:t xml:space="preserve"> </w:t>
      </w:r>
      <w:proofErr w:type="spellStart"/>
      <w:r w:rsidRPr="00713451">
        <w:rPr>
          <w:rFonts w:asciiTheme="majorHAnsi" w:hAnsiTheme="majorHAnsi" w:cstheme="majorHAnsi"/>
          <w:color w:val="2B2B2B"/>
          <w:sz w:val="20"/>
          <w:szCs w:val="20"/>
        </w:rPr>
        <w:t>Press</w:t>
      </w:r>
      <w:proofErr w:type="spellEnd"/>
      <w:r w:rsidRPr="00713451">
        <w:rPr>
          <w:rFonts w:asciiTheme="majorHAnsi" w:hAnsiTheme="majorHAnsi" w:cstheme="majorHAnsi"/>
          <w:color w:val="2B2B2B"/>
          <w:sz w:val="20"/>
          <w:szCs w:val="20"/>
        </w:rPr>
        <w:t>.</w:t>
      </w:r>
    </w:p>
    <w:p w14:paraId="6B191F60" w14:textId="77777777" w:rsidR="00713451" w:rsidRPr="00254BC0" w:rsidRDefault="00713451">
      <w:pPr>
        <w:rPr>
          <w:rFonts w:asciiTheme="majorHAnsi" w:hAnsiTheme="majorHAnsi" w:cstheme="majorHAnsi"/>
          <w:sz w:val="20"/>
          <w:szCs w:val="20"/>
        </w:rPr>
      </w:pPr>
    </w:p>
    <w:sectPr w:rsidR="00713451" w:rsidRPr="00254B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5565"/>
    <w:multiLevelType w:val="hybridMultilevel"/>
    <w:tmpl w:val="BB3C691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25F26A60"/>
    <w:multiLevelType w:val="multilevel"/>
    <w:tmpl w:val="602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C42747"/>
    <w:multiLevelType w:val="hybridMultilevel"/>
    <w:tmpl w:val="3C7488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5D3672D"/>
    <w:multiLevelType w:val="hybridMultilevel"/>
    <w:tmpl w:val="E2043068"/>
    <w:lvl w:ilvl="0" w:tplc="5F92F04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960E6F"/>
    <w:multiLevelType w:val="multilevel"/>
    <w:tmpl w:val="C90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330319"/>
    <w:multiLevelType w:val="multilevel"/>
    <w:tmpl w:val="FB2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111124">
    <w:abstractNumId w:val="4"/>
  </w:num>
  <w:num w:numId="2" w16cid:durableId="1916040458">
    <w:abstractNumId w:val="5"/>
  </w:num>
  <w:num w:numId="3" w16cid:durableId="1159345136">
    <w:abstractNumId w:val="3"/>
  </w:num>
  <w:num w:numId="4" w16cid:durableId="754018344">
    <w:abstractNumId w:val="0"/>
  </w:num>
  <w:num w:numId="5" w16cid:durableId="1162281403">
    <w:abstractNumId w:val="2"/>
  </w:num>
  <w:num w:numId="6" w16cid:durableId="137641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0"/>
    <w:rsid w:val="0000424E"/>
    <w:rsid w:val="00254BC0"/>
    <w:rsid w:val="002E45F0"/>
    <w:rsid w:val="005964ED"/>
    <w:rsid w:val="00621B8E"/>
    <w:rsid w:val="006A1BE1"/>
    <w:rsid w:val="00713451"/>
    <w:rsid w:val="00790EB6"/>
    <w:rsid w:val="007D390D"/>
    <w:rsid w:val="0087424B"/>
    <w:rsid w:val="00A52C42"/>
    <w:rsid w:val="00B00230"/>
    <w:rsid w:val="00D06CAF"/>
    <w:rsid w:val="00DE7F2A"/>
    <w:rsid w:val="00F56C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5648"/>
  <w15:chartTrackingRefBased/>
  <w15:docId w15:val="{257D1C52-3FB9-4CDC-B405-8F2CCA3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45F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E45F0"/>
    <w:rPr>
      <w:b/>
      <w:bCs/>
    </w:rPr>
  </w:style>
  <w:style w:type="paragraph" w:styleId="Prrafodelista">
    <w:name w:val="List Paragraph"/>
    <w:basedOn w:val="Normal"/>
    <w:uiPriority w:val="34"/>
    <w:qFormat/>
    <w:rsid w:val="002E45F0"/>
    <w:pPr>
      <w:ind w:left="720"/>
      <w:contextualSpacing/>
    </w:pPr>
  </w:style>
  <w:style w:type="table" w:styleId="Tablaconcuadrcula">
    <w:name w:val="Table Grid"/>
    <w:basedOn w:val="Tablanormal"/>
    <w:uiPriority w:val="39"/>
    <w:rsid w:val="002E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D06CAF"/>
    <w:pPr>
      <w:spacing w:before="100" w:beforeAutospacing="1" w:after="100" w:afterAutospacing="1" w:line="240" w:lineRule="auto"/>
    </w:pPr>
    <w:rPr>
      <w:rFonts w:ascii="Calibri" w:hAnsi="Calibri" w:cs="Calibri"/>
      <w:lang w:eastAsia="es-CL"/>
    </w:rPr>
  </w:style>
  <w:style w:type="character" w:styleId="Hipervnculo">
    <w:name w:val="Hyperlink"/>
    <w:basedOn w:val="Fuentedeprrafopredeter"/>
    <w:uiPriority w:val="99"/>
    <w:unhideWhenUsed/>
    <w:rsid w:val="006A1BE1"/>
    <w:rPr>
      <w:color w:val="0563C1" w:themeColor="hyperlink"/>
      <w:u w:val="single"/>
    </w:rPr>
  </w:style>
  <w:style w:type="character" w:styleId="Mencinsinresolver">
    <w:name w:val="Unresolved Mention"/>
    <w:basedOn w:val="Fuentedeprrafopredeter"/>
    <w:uiPriority w:val="99"/>
    <w:semiHidden/>
    <w:unhideWhenUsed/>
    <w:rsid w:val="006A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7733">
      <w:bodyDiv w:val="1"/>
      <w:marLeft w:val="0"/>
      <w:marRight w:val="0"/>
      <w:marTop w:val="0"/>
      <w:marBottom w:val="0"/>
      <w:divBdr>
        <w:top w:val="none" w:sz="0" w:space="0" w:color="auto"/>
        <w:left w:val="none" w:sz="0" w:space="0" w:color="auto"/>
        <w:bottom w:val="none" w:sz="0" w:space="0" w:color="auto"/>
        <w:right w:val="none" w:sz="0" w:space="0" w:color="auto"/>
      </w:divBdr>
    </w:div>
    <w:div w:id="744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digital.mineduc.cl/bitstream/handle/20.500.12365/14666/aprendizajeservicio2007.pdf?sequence=1&amp;isAllowed=y" TargetMode="External"/><Relationship Id="rId3" Type="http://schemas.openxmlformats.org/officeDocument/2006/relationships/settings" Target="settings.xml"/><Relationship Id="rId7" Type="http://schemas.openxmlformats.org/officeDocument/2006/relationships/hyperlink" Target="https://dx.doi.org/10.4067/S0718-83582016000100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s.gagliardi@aiep.cl" TargetMode="External"/><Relationship Id="rId5" Type="http://schemas.openxmlformats.org/officeDocument/2006/relationships/hyperlink" Target="mailto:marcela.vaccaro@aiep.c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2534</Words>
  <Characters>13938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Nicolas Garcia Gonzalez</dc:creator>
  <cp:keywords/>
  <dc:description/>
  <cp:lastModifiedBy>Javier Nicolas Garcia Gonzalez</cp:lastModifiedBy>
  <cp:revision>8</cp:revision>
  <dcterms:created xsi:type="dcterms:W3CDTF">2022-12-06T15:10:00Z</dcterms:created>
  <dcterms:modified xsi:type="dcterms:W3CDTF">2022-12-26T23:51:00Z</dcterms:modified>
</cp:coreProperties>
</file>