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BC53B" w14:textId="0DB029D9" w:rsidR="00F1003C" w:rsidRPr="00AA2EFF" w:rsidRDefault="00F1003C">
      <w:pPr>
        <w:rPr>
          <w:b/>
          <w:bCs/>
        </w:rPr>
      </w:pPr>
      <w:r w:rsidRPr="00AA2EFF">
        <w:rPr>
          <w:b/>
          <w:bCs/>
        </w:rPr>
        <w:t>¿Cuál es mi frontera? Vinculación con el medio en modalidad Online</w:t>
      </w:r>
    </w:p>
    <w:p w14:paraId="488375AB" w14:textId="49B14E4A" w:rsidR="004273D6" w:rsidRDefault="00F1003C">
      <w:r>
        <w:t>Nicolás Gagliardi</w:t>
      </w:r>
    </w:p>
    <w:p w14:paraId="13A6D5C6" w14:textId="00519361" w:rsidR="00F1003C" w:rsidRDefault="00000000">
      <w:hyperlink r:id="rId7" w:history="1">
        <w:r w:rsidR="00F1003C" w:rsidRPr="005F62C1">
          <w:rPr>
            <w:rStyle w:val="Hipervnculo"/>
          </w:rPr>
          <w:t>nicolas.gagliardi@aiep.cl</w:t>
        </w:r>
      </w:hyperlink>
    </w:p>
    <w:p w14:paraId="09AC79F8" w14:textId="38CFDCD6" w:rsidR="00F1003C" w:rsidRDefault="00F1003C"/>
    <w:p w14:paraId="58135687" w14:textId="25BEB036" w:rsidR="00F1003C" w:rsidRPr="005746EF" w:rsidRDefault="00F1003C" w:rsidP="00F1003C">
      <w:pPr>
        <w:rPr>
          <w:b/>
          <w:bCs/>
        </w:rPr>
      </w:pPr>
      <w:r w:rsidRPr="005746EF">
        <w:rPr>
          <w:b/>
          <w:bCs/>
        </w:rPr>
        <w:t>Resumen</w:t>
      </w:r>
    </w:p>
    <w:p w14:paraId="1F7ADDB6" w14:textId="73BF8A1A" w:rsidR="005746EF" w:rsidRDefault="005746EF" w:rsidP="005746EF">
      <w:pPr>
        <w:jc w:val="both"/>
      </w:pPr>
      <w:r>
        <w:t>La ponencia corresponde al área temática “Vinculación con el medio y su relación con la docencia de pregrado o posgrado”, en la categoría “</w:t>
      </w:r>
      <w:r>
        <w:t>Online</w:t>
      </w:r>
      <w:r>
        <w:t xml:space="preserve">”. </w:t>
      </w:r>
      <w:r>
        <w:t>La ponencia toma como base la pregunta sobre el despliegue de iniciativas de vinculación con el medio en modalidad en línea y reflexiona sobre la construcción de un territorio online. Para esto, se utilizan como ejemplo las iniciativas desarrolladas en modalidad online en tiempos de COVID-19, así como el despliegue de iniciativas de vinculación con el medio desarrolladas por AIEP Online. La ponencia busca ser un espacio de referencia para instituciones que buscan establecer vinculación con el medio en modalidad en línea, abordando los desafíos y oportunidades que esta modalidad entrega en beneficio de estudiantes y comunidades locales.</w:t>
      </w:r>
    </w:p>
    <w:p w14:paraId="16220960" w14:textId="77777777" w:rsidR="005746EF" w:rsidRDefault="005746EF" w:rsidP="005746EF">
      <w:pPr>
        <w:jc w:val="both"/>
      </w:pPr>
    </w:p>
    <w:p w14:paraId="78EB543A" w14:textId="3792AF46" w:rsidR="00F1003C" w:rsidRPr="005746EF" w:rsidRDefault="00F1003C" w:rsidP="00F1003C">
      <w:pPr>
        <w:rPr>
          <w:b/>
          <w:bCs/>
        </w:rPr>
      </w:pPr>
      <w:r w:rsidRPr="005746EF">
        <w:rPr>
          <w:b/>
          <w:bCs/>
        </w:rPr>
        <w:t>Palabras claves</w:t>
      </w:r>
    </w:p>
    <w:p w14:paraId="115ADD89" w14:textId="5B806DD9" w:rsidR="005746EF" w:rsidRDefault="005746EF" w:rsidP="00F1003C">
      <w:r>
        <w:t>Online, territorio, pertinencia, modalidad</w:t>
      </w:r>
    </w:p>
    <w:p w14:paraId="69031531" w14:textId="77777777" w:rsidR="005746EF" w:rsidRDefault="005746EF" w:rsidP="00F1003C"/>
    <w:p w14:paraId="770B3771" w14:textId="33488874" w:rsidR="00F1003C" w:rsidRPr="005746EF" w:rsidRDefault="00F1003C" w:rsidP="00F1003C">
      <w:pPr>
        <w:rPr>
          <w:b/>
          <w:bCs/>
        </w:rPr>
      </w:pPr>
      <w:r w:rsidRPr="005746EF">
        <w:rPr>
          <w:b/>
          <w:bCs/>
        </w:rPr>
        <w:t>Introducción</w:t>
      </w:r>
    </w:p>
    <w:p w14:paraId="00A794C6" w14:textId="311AA7CE" w:rsidR="005746EF" w:rsidRDefault="005746EF" w:rsidP="005746EF">
      <w:pPr>
        <w:jc w:val="both"/>
      </w:pPr>
      <w:r>
        <w:t>Durante la pandemia por COVID-19 distintas actividades académicas y no académicas se vieron desafiadas producto de la prohibición de reuniones presenciales que congregaran a grupos de personas. Una de estas actividades fueron las iniciativas de vinculación con el medio, caracterizadas por el despliegue local y presencial de estudiantes y docentes para contribuir al desarrollo de las comunidades.</w:t>
      </w:r>
    </w:p>
    <w:p w14:paraId="66A444CE" w14:textId="46F081CE" w:rsidR="00F30566" w:rsidRDefault="00F30566" w:rsidP="005746EF">
      <w:pPr>
        <w:jc w:val="both"/>
      </w:pPr>
    </w:p>
    <w:p w14:paraId="13B0960D" w14:textId="07D7CB5B" w:rsidR="00F30566" w:rsidRDefault="00F30566" w:rsidP="005746EF">
      <w:pPr>
        <w:jc w:val="both"/>
      </w:pPr>
      <w:r>
        <w:t>Si bien, esta situación plantea una serie de desafíos que fueron sorteados de forma satisfactoria, hoy podemos reflexionar sobre cómo promovemos la vinculación con el medio en distintas modalidades de estudio, para así contribuir al desarrollo formativo de estudiantes y abordar una serie de brechas persistentes.</w:t>
      </w:r>
    </w:p>
    <w:p w14:paraId="7CA129C3" w14:textId="4DCC1786" w:rsidR="006679C7" w:rsidRDefault="006679C7" w:rsidP="005746EF">
      <w:pPr>
        <w:jc w:val="both"/>
      </w:pPr>
    </w:p>
    <w:p w14:paraId="29AF48EC" w14:textId="3C44DC4E" w:rsidR="006679C7" w:rsidRDefault="006679C7" w:rsidP="005746EF">
      <w:pPr>
        <w:jc w:val="both"/>
      </w:pPr>
      <w:r>
        <w:t xml:space="preserve">En el caso de la modalidad en línea, observamos que ha aumentado sostenidamente la matricula de estudiantes en este tipo de modalidad. Frente a esto, es necesario establecer las adaptaciones metodológicas e instruccionales para brindar experiencias de aprendizaje significativo, tales como la vinculación con el medio. </w:t>
      </w:r>
    </w:p>
    <w:p w14:paraId="38C47ECB" w14:textId="6540FF25" w:rsidR="006679C7" w:rsidRDefault="006679C7" w:rsidP="005746EF">
      <w:pPr>
        <w:jc w:val="both"/>
      </w:pPr>
    </w:p>
    <w:p w14:paraId="098920A3" w14:textId="4B912A9E" w:rsidR="006679C7" w:rsidRDefault="006679C7" w:rsidP="005746EF">
      <w:pPr>
        <w:jc w:val="both"/>
      </w:pPr>
      <w:r>
        <w:t xml:space="preserve">La vinculación con el medio en modalidad en línea permite realizar acciones con socios-comunitarios en espacios geográficos poco explorados, además de activar redes en zonas, regiones y países de una institución de educación superior no tiene presencia física. </w:t>
      </w:r>
    </w:p>
    <w:p w14:paraId="1B1CDEAB" w14:textId="3D9715D8" w:rsidR="006679C7" w:rsidRDefault="006679C7" w:rsidP="005746EF">
      <w:pPr>
        <w:jc w:val="both"/>
      </w:pPr>
    </w:p>
    <w:p w14:paraId="682DE37F" w14:textId="547BD26D" w:rsidR="006679C7" w:rsidRDefault="006679C7" w:rsidP="005746EF">
      <w:pPr>
        <w:jc w:val="both"/>
      </w:pPr>
      <w:r>
        <w:t>Dentro de los beneficios de implementar iniciativas de vinculación con el medio en modalidad en línea se considera la posibilidad de sortear limitaciones geográficas o de acceso, permiten que ciertos grupos de población accedan a estos servicios, y amplia el campo de intervención de las instituciones de educación superior.</w:t>
      </w:r>
    </w:p>
    <w:p w14:paraId="2D4479F6" w14:textId="3707AE74" w:rsidR="006679C7" w:rsidRDefault="006679C7" w:rsidP="005746EF">
      <w:pPr>
        <w:jc w:val="both"/>
      </w:pPr>
    </w:p>
    <w:p w14:paraId="59886B33" w14:textId="791F01F6" w:rsidR="006679C7" w:rsidRDefault="006679C7" w:rsidP="005746EF">
      <w:pPr>
        <w:jc w:val="both"/>
      </w:pPr>
      <w:r>
        <w:t xml:space="preserve">Finalmente, dentro de los aprendizajes en torno al despliegue de iniciativas de vinculación con el medio en línea se considera que este formato resulta un facilitador del </w:t>
      </w:r>
      <w:r>
        <w:t xml:space="preserve">proceso porque permite canalizar una serie de temáticas que, de lo contrario, no serían abordadas, permite aproximarse a nuevos socios-comunitarios y beneficiarios que, de lo contrario, no podrían acceder por barreras </w:t>
      </w:r>
      <w:r>
        <w:lastRenderedPageBreak/>
        <w:t>geográficas, y permiten fortalecer las experiencias de aprendizaje de estudiantes en modalidades en línea</w:t>
      </w:r>
      <w:r>
        <w:t>.</w:t>
      </w:r>
    </w:p>
    <w:p w14:paraId="4A563A8D" w14:textId="77777777" w:rsidR="00C82224" w:rsidRDefault="00C82224" w:rsidP="00F1003C"/>
    <w:p w14:paraId="045AEC5B" w14:textId="6A0B30A6" w:rsidR="00F1003C" w:rsidRPr="00F30566" w:rsidRDefault="00F30566" w:rsidP="00F1003C">
      <w:pPr>
        <w:rPr>
          <w:b/>
          <w:bCs/>
        </w:rPr>
      </w:pPr>
      <w:r w:rsidRPr="00F30566">
        <w:rPr>
          <w:b/>
          <w:bCs/>
        </w:rPr>
        <w:t>Contexto y reflexiones</w:t>
      </w:r>
    </w:p>
    <w:p w14:paraId="65FF0404" w14:textId="0349F95B" w:rsidR="00F30566" w:rsidRDefault="00F30566" w:rsidP="00F1003C"/>
    <w:p w14:paraId="47EFBAC0" w14:textId="42CDAF13" w:rsidR="00F30566" w:rsidRDefault="00F30566" w:rsidP="00F30566">
      <w:pPr>
        <w:jc w:val="both"/>
      </w:pPr>
      <w:r>
        <w:t>A continuación, se detallan algunos elementos relevantes para la ponencia, así como las reflexiones detrás de la implementación de iniciativas de vinculación con el medio en modalidad en línea.</w:t>
      </w:r>
    </w:p>
    <w:p w14:paraId="79FCFF8A" w14:textId="79E43B01" w:rsidR="00F30566" w:rsidRDefault="00F30566" w:rsidP="00F1003C"/>
    <w:p w14:paraId="6BF3827D" w14:textId="04C55B33" w:rsidR="00E84F43" w:rsidRDefault="00E84F43" w:rsidP="00E84F43">
      <w:pPr>
        <w:ind w:left="708"/>
        <w:rPr>
          <w:b/>
          <w:bCs/>
        </w:rPr>
      </w:pPr>
      <w:r>
        <w:rPr>
          <w:b/>
          <w:bCs/>
        </w:rPr>
        <w:t>Pertinencia local y</w:t>
      </w:r>
      <w:r w:rsidR="00F30566" w:rsidRPr="00C82224">
        <w:rPr>
          <w:b/>
          <w:bCs/>
        </w:rPr>
        <w:t xml:space="preserve"> </w:t>
      </w:r>
      <w:r w:rsidR="00E17AE4" w:rsidRPr="00C82224">
        <w:rPr>
          <w:b/>
          <w:bCs/>
        </w:rPr>
        <w:t>modalidad en línea</w:t>
      </w:r>
    </w:p>
    <w:p w14:paraId="6CC7F50A" w14:textId="7485E432" w:rsidR="000337C9" w:rsidRDefault="00E84F43" w:rsidP="00E84F43">
      <w:pPr>
        <w:ind w:left="708"/>
        <w:jc w:val="both"/>
        <w:rPr>
          <w:rFonts w:asciiTheme="minorHAnsi" w:hAnsiTheme="minorHAnsi" w:cstheme="minorHAnsi"/>
        </w:rPr>
      </w:pPr>
      <w:r w:rsidRPr="00E84F43">
        <w:rPr>
          <w:rFonts w:asciiTheme="minorHAnsi" w:hAnsiTheme="minorHAnsi" w:cstheme="minorHAnsi"/>
        </w:rPr>
        <w:t xml:space="preserve">Los requerimientos de coordinación y efectividad de las iniciativas de vinculación con el medio van en constante crecimiento, por lo que la integración de entornos virtuales para el despliegue de iniciativas es beneficioso. </w:t>
      </w:r>
    </w:p>
    <w:p w14:paraId="4F904866" w14:textId="6D36632B" w:rsidR="000337C9" w:rsidRDefault="000337C9" w:rsidP="00E84F43">
      <w:pPr>
        <w:ind w:left="708"/>
        <w:jc w:val="both"/>
        <w:rPr>
          <w:rFonts w:asciiTheme="minorHAnsi" w:hAnsiTheme="minorHAnsi" w:cstheme="minorHAnsi"/>
        </w:rPr>
      </w:pPr>
    </w:p>
    <w:p w14:paraId="202888ED" w14:textId="5053E775" w:rsidR="00E84F43" w:rsidRDefault="000337C9" w:rsidP="000337C9">
      <w:pPr>
        <w:ind w:left="708"/>
        <w:jc w:val="both"/>
        <w:rPr>
          <w:rFonts w:asciiTheme="minorHAnsi" w:hAnsiTheme="minorHAnsi" w:cstheme="minorHAnsi"/>
        </w:rPr>
      </w:pPr>
      <w:r>
        <w:rPr>
          <w:rFonts w:asciiTheme="minorHAnsi" w:hAnsiTheme="minorHAnsi" w:cstheme="minorHAnsi"/>
        </w:rPr>
        <w:t xml:space="preserve">Enfocarse en determinados espacios geográficos presentar una oportunidad para resolver brechas persistentes y difíciles de abordar, </w:t>
      </w:r>
      <w:r w:rsidR="00E84F43" w:rsidRPr="00E84F43">
        <w:rPr>
          <w:rFonts w:asciiTheme="minorHAnsi" w:hAnsiTheme="minorHAnsi" w:cstheme="minorHAnsi"/>
        </w:rPr>
        <w:t xml:space="preserve">así como generar nuevas oportunidades de acción </w:t>
      </w:r>
      <w:r w:rsidR="00E84F43" w:rsidRPr="00E84F43">
        <w:rPr>
          <w:rFonts w:asciiTheme="minorHAnsi" w:hAnsiTheme="minorHAnsi" w:cstheme="minorHAnsi"/>
        </w:rPr>
        <w:t>específicas</w:t>
      </w:r>
      <w:r w:rsidR="00E84F43" w:rsidRPr="00E84F43">
        <w:rPr>
          <w:rFonts w:asciiTheme="minorHAnsi" w:hAnsiTheme="minorHAnsi" w:cstheme="minorHAnsi"/>
        </w:rPr>
        <w:t xml:space="preserve"> para ellas (Serrano, 2010).</w:t>
      </w:r>
      <w:r>
        <w:rPr>
          <w:rFonts w:asciiTheme="minorHAnsi" w:hAnsiTheme="minorHAnsi" w:cstheme="minorHAnsi"/>
        </w:rPr>
        <w:t xml:space="preserve"> En este proceso, los entornos virtuales juegan un rol fundamental porque facilitan el acceso a zonas y personas que, de lo contrario no podrían acceder.</w:t>
      </w:r>
    </w:p>
    <w:p w14:paraId="3DE342C7" w14:textId="5285ACE0" w:rsidR="00462061" w:rsidRDefault="00462061" w:rsidP="000337C9">
      <w:pPr>
        <w:ind w:left="708"/>
        <w:jc w:val="both"/>
        <w:rPr>
          <w:rFonts w:asciiTheme="minorHAnsi" w:hAnsiTheme="minorHAnsi" w:cstheme="minorHAnsi"/>
        </w:rPr>
      </w:pPr>
    </w:p>
    <w:p w14:paraId="100DF98D" w14:textId="106DEE2E" w:rsidR="00462061" w:rsidRDefault="00462061" w:rsidP="00462061">
      <w:pPr>
        <w:ind w:left="708"/>
        <w:jc w:val="both"/>
        <w:rPr>
          <w:rFonts w:asciiTheme="minorHAnsi" w:hAnsiTheme="minorHAnsi" w:cstheme="minorHAnsi"/>
        </w:rPr>
      </w:pPr>
      <w:r>
        <w:rPr>
          <w:rFonts w:asciiTheme="minorHAnsi" w:hAnsiTheme="minorHAnsi" w:cstheme="minorHAnsi"/>
        </w:rPr>
        <w:t xml:space="preserve">Para focalizar el diseño y planificación de programas e iniciativas de vinculación con el medio existe un tipo de focalización denominado pertinencia local, </w:t>
      </w:r>
      <w:r w:rsidR="00E84F43" w:rsidRPr="00E84F43">
        <w:rPr>
          <w:rFonts w:asciiTheme="minorHAnsi" w:hAnsiTheme="minorHAnsi" w:cstheme="minorHAnsi"/>
        </w:rPr>
        <w:t xml:space="preserve">que toma como referencia variables sociales, económicas, espaciales y culturales propias de la zona geográfica a intervenir (Raczynski, 1995). </w:t>
      </w:r>
      <w:r>
        <w:rPr>
          <w:rFonts w:asciiTheme="minorHAnsi" w:hAnsiTheme="minorHAnsi" w:cstheme="minorHAnsi"/>
        </w:rPr>
        <w:t>Esta focalización permite identificar espacios geográficos a intervenir y se ve enormemente beneficiada cuando consideramos el despliegue de iniciativas en modalidad en línea porque permite acceder a entornos geográficos poco explorados.</w:t>
      </w:r>
    </w:p>
    <w:p w14:paraId="60E9174E" w14:textId="77777777" w:rsidR="00E84F43" w:rsidRPr="00E84F43" w:rsidRDefault="00E84F43" w:rsidP="00462061">
      <w:pPr>
        <w:jc w:val="both"/>
        <w:rPr>
          <w:rFonts w:asciiTheme="minorHAnsi" w:hAnsiTheme="minorHAnsi" w:cstheme="minorHAnsi"/>
        </w:rPr>
      </w:pPr>
    </w:p>
    <w:p w14:paraId="6930034B" w14:textId="25AA9643" w:rsidR="00E84F43" w:rsidRPr="00E84F43" w:rsidRDefault="00E84F43" w:rsidP="00E84F43">
      <w:pPr>
        <w:ind w:left="708"/>
        <w:jc w:val="both"/>
        <w:rPr>
          <w:rFonts w:asciiTheme="minorHAnsi" w:hAnsiTheme="minorHAnsi" w:cstheme="minorHAnsi"/>
        </w:rPr>
      </w:pPr>
      <w:r w:rsidRPr="00E84F43">
        <w:rPr>
          <w:rFonts w:asciiTheme="minorHAnsi" w:hAnsiTheme="minorHAnsi" w:cstheme="minorHAnsi"/>
        </w:rPr>
        <w:t>Cabe mencionar que la pertinencia local se sustenta en que cada zona geográfica está determinada por una construcción histórica, un espacio dotado de recursos, lo que genera un ecosistema con determinadas formas de aprovechamiento de las estructuras económico-productivas, las que cimientan las bases para la construcción de redes sociodemográficas, institucionales y económicas particulares (Echeverri, 2011). Es así como la pertinencia local, nos invita a considerar la identidad del espacio -tradiciones, cultura, vida social y entorno económico- en el diseño y planificación de programas e iniciativas (Ídem).</w:t>
      </w:r>
      <w:r w:rsidR="00462061">
        <w:rPr>
          <w:rFonts w:asciiTheme="minorHAnsi" w:hAnsiTheme="minorHAnsi" w:cstheme="minorHAnsi"/>
        </w:rPr>
        <w:t xml:space="preserve"> </w:t>
      </w:r>
    </w:p>
    <w:p w14:paraId="71FB4D07" w14:textId="77777777" w:rsidR="00E84F43" w:rsidRPr="00E84F43" w:rsidRDefault="00E84F43" w:rsidP="00E84F43">
      <w:pPr>
        <w:ind w:left="708"/>
        <w:jc w:val="both"/>
        <w:rPr>
          <w:rFonts w:asciiTheme="minorHAnsi" w:hAnsiTheme="minorHAnsi" w:cstheme="minorHAnsi"/>
        </w:rPr>
      </w:pPr>
    </w:p>
    <w:p w14:paraId="50C6FE40" w14:textId="61D1E484" w:rsidR="00E84F43" w:rsidRDefault="00E84F43" w:rsidP="00E84F43">
      <w:pPr>
        <w:ind w:left="708"/>
        <w:jc w:val="both"/>
        <w:rPr>
          <w:rFonts w:asciiTheme="minorHAnsi" w:hAnsiTheme="minorHAnsi" w:cstheme="minorHAnsi"/>
        </w:rPr>
      </w:pPr>
      <w:r w:rsidRPr="00E84F43">
        <w:rPr>
          <w:rFonts w:asciiTheme="minorHAnsi" w:hAnsiTheme="minorHAnsi" w:cstheme="minorHAnsi"/>
        </w:rPr>
        <w:t>En consecuencia, la pertinencia local contribuye de manera positiva a la medición de resultados, impacto y sustentabilidad de los programas e iniciativas porque permite fijar un marco de referencia y/o línea base para su futura evaluación (Echeverri, 2011; Fuster, 2016). Adicionalmente, desarrollar iniciativas y proyectos que consideran pertinencia local permite (Serrano, 2010): generar de externalidades positivas en el entorno, movilizar activos presentes en el territorio agregando valor al conjunto de los procesos, establecer relaciones cooperativas de mutuo interés entre diversos actores, y abordar asuntos de equidad e inclusión social.</w:t>
      </w:r>
    </w:p>
    <w:p w14:paraId="7908ABAE" w14:textId="77777777" w:rsidR="00E84F43" w:rsidRPr="00E84F43" w:rsidRDefault="00E84F43" w:rsidP="00E84F43">
      <w:pPr>
        <w:jc w:val="both"/>
        <w:rPr>
          <w:rFonts w:asciiTheme="minorHAnsi" w:hAnsiTheme="minorHAnsi" w:cstheme="minorHAnsi"/>
        </w:rPr>
      </w:pPr>
    </w:p>
    <w:p w14:paraId="5CAF1B8F" w14:textId="77777777" w:rsidR="00E84F43" w:rsidRPr="00E84F43" w:rsidRDefault="00E84F43" w:rsidP="00E84F43">
      <w:pPr>
        <w:ind w:left="708"/>
        <w:jc w:val="both"/>
        <w:rPr>
          <w:rFonts w:asciiTheme="minorHAnsi" w:hAnsiTheme="minorHAnsi" w:cstheme="minorHAnsi"/>
        </w:rPr>
      </w:pPr>
      <w:r w:rsidRPr="00E84F43">
        <w:rPr>
          <w:rFonts w:asciiTheme="minorHAnsi" w:hAnsiTheme="minorHAnsi" w:cstheme="minorHAnsi"/>
        </w:rPr>
        <w:t xml:space="preserve">La pertinencia local es fundamental en el quehacer de las instituciones de educación superior porque permite planificar acciones en diversos contextos sociales, definiendo actores prioritarios en relación con la afiliación geográfica de proximidad. De esta forma, la </w:t>
      </w:r>
      <w:r w:rsidRPr="00E84F43">
        <w:rPr>
          <w:rFonts w:asciiTheme="minorHAnsi" w:hAnsiTheme="minorHAnsi" w:cstheme="minorHAnsi"/>
        </w:rPr>
        <w:lastRenderedPageBreak/>
        <w:t>pertinencia local le da sentido a las iniciativas que cada institución realiza, dotando de materialidad y escenario para concretar los impactos que buscan generar. Además, para la Vinculación con el Medio, la pertinencia local es fundamental para identificar los problemas de las comunidades y actores de determinada zona geográfica. Por otro lado, a través de sus funciones sustantivas, nutre el desarrollo de soluciones que se ajusten a las necesidades de esa zona específica, configurando el escenario en que se desarrollan las iniciativas.</w:t>
      </w:r>
    </w:p>
    <w:p w14:paraId="44C125C6" w14:textId="77777777" w:rsidR="00E84F43" w:rsidRPr="00E84F43" w:rsidRDefault="00E84F43" w:rsidP="00E84F43">
      <w:pPr>
        <w:ind w:left="708"/>
        <w:jc w:val="both"/>
        <w:rPr>
          <w:rFonts w:asciiTheme="minorHAnsi" w:hAnsiTheme="minorHAnsi" w:cstheme="minorHAnsi"/>
        </w:rPr>
      </w:pPr>
    </w:p>
    <w:p w14:paraId="40D2FB31" w14:textId="77777777" w:rsidR="00E84F43" w:rsidRPr="00E84F43" w:rsidRDefault="00E84F43" w:rsidP="00E84F43">
      <w:pPr>
        <w:ind w:left="708"/>
        <w:jc w:val="both"/>
        <w:rPr>
          <w:rFonts w:asciiTheme="minorHAnsi" w:hAnsiTheme="minorHAnsi" w:cstheme="minorHAnsi"/>
        </w:rPr>
      </w:pPr>
      <w:r w:rsidRPr="00E84F43">
        <w:rPr>
          <w:rFonts w:asciiTheme="minorHAnsi" w:hAnsiTheme="minorHAnsi" w:cstheme="minorHAnsi"/>
        </w:rPr>
        <w:t xml:space="preserve">En este sentido, la importancia de lo local se configura en la medida en que los impactos de los programas e iniciativas se desarrollan en un horizonte socioespacial próximo a la institución y, al mismo tiempo, contribuyen a desafíos a gran escala. </w:t>
      </w:r>
    </w:p>
    <w:p w14:paraId="78FB4D9B" w14:textId="77777777" w:rsidR="00E84F43" w:rsidRPr="00E84F43" w:rsidRDefault="00E84F43" w:rsidP="00E84F43">
      <w:pPr>
        <w:ind w:left="708"/>
        <w:jc w:val="both"/>
        <w:rPr>
          <w:rFonts w:asciiTheme="minorHAnsi" w:hAnsiTheme="minorHAnsi" w:cstheme="minorHAnsi"/>
        </w:rPr>
      </w:pPr>
    </w:p>
    <w:p w14:paraId="16D06711" w14:textId="5BDD2619" w:rsidR="00E84F43" w:rsidRDefault="00E84F43" w:rsidP="00E84F43">
      <w:pPr>
        <w:ind w:left="708"/>
        <w:jc w:val="both"/>
        <w:rPr>
          <w:rFonts w:asciiTheme="minorHAnsi" w:hAnsiTheme="minorHAnsi" w:cstheme="minorHAnsi"/>
        </w:rPr>
      </w:pPr>
      <w:r w:rsidRPr="00E84F43">
        <w:rPr>
          <w:rFonts w:asciiTheme="minorHAnsi" w:hAnsiTheme="minorHAnsi" w:cstheme="minorHAnsi"/>
        </w:rPr>
        <w:t>En síntesis, la pertinencia local se relaciona con el despliegue de las instituciones de educación superior y las demandas y expectativas de zonas geográficas específicas, atendiendo a sus dimensiones políticas, económicas, sociales y culturales. Esto nos invita a reflexionar sobre las dinámicas y complejidades de cada espacio, sus problemáticas y potencialidades, así como a la búsqueda de mecanismos y modos que surtan efectos de cambio social para aportar a su desarrollo.</w:t>
      </w:r>
    </w:p>
    <w:p w14:paraId="50704E58" w14:textId="7F7A5829" w:rsidR="00E84F43" w:rsidRDefault="00E84F43" w:rsidP="00E84F43">
      <w:pPr>
        <w:ind w:left="708"/>
        <w:jc w:val="both"/>
        <w:rPr>
          <w:rFonts w:asciiTheme="minorHAnsi" w:hAnsiTheme="minorHAnsi" w:cstheme="minorHAnsi"/>
        </w:rPr>
      </w:pPr>
    </w:p>
    <w:p w14:paraId="2F6DBE41" w14:textId="26A40D5B" w:rsidR="00E84F43" w:rsidRPr="00E84F43" w:rsidRDefault="00E84F43" w:rsidP="00E84F43">
      <w:pPr>
        <w:ind w:left="708"/>
        <w:jc w:val="both"/>
        <w:rPr>
          <w:rFonts w:asciiTheme="minorHAnsi" w:hAnsiTheme="minorHAnsi" w:cstheme="minorHAnsi"/>
          <w:b/>
          <w:bCs/>
        </w:rPr>
      </w:pPr>
      <w:r w:rsidRPr="00E84F43">
        <w:rPr>
          <w:rFonts w:asciiTheme="minorHAnsi" w:hAnsiTheme="minorHAnsi" w:cstheme="minorHAnsi"/>
          <w:b/>
          <w:bCs/>
        </w:rPr>
        <w:t>Vinculación con el medio en modalidad en línea</w:t>
      </w:r>
    </w:p>
    <w:p w14:paraId="4307919F" w14:textId="08319673" w:rsidR="00462061" w:rsidRDefault="00462061" w:rsidP="00E17AE4">
      <w:pPr>
        <w:ind w:left="708"/>
        <w:jc w:val="both"/>
      </w:pPr>
      <w:r>
        <w:t xml:space="preserve">La vinculación con el medio en modalidad en línea se caracteriza porque el servicio ofrecido a un socio-comunitario se desarrolla en formato en línea, a través de plataformas tecnológicas en modalidad sincrónica y/o asincrónica. </w:t>
      </w:r>
    </w:p>
    <w:p w14:paraId="71656FF3" w14:textId="5B84A3A1" w:rsidR="00462061" w:rsidRDefault="00462061" w:rsidP="00E17AE4">
      <w:pPr>
        <w:ind w:left="708"/>
        <w:jc w:val="both"/>
      </w:pPr>
    </w:p>
    <w:p w14:paraId="0A863620" w14:textId="553A9863" w:rsidR="00462061" w:rsidRDefault="00462061" w:rsidP="00E17AE4">
      <w:pPr>
        <w:ind w:left="708"/>
        <w:jc w:val="both"/>
      </w:pPr>
      <w:r>
        <w:t xml:space="preserve">La importancia de esta modalidad radica en que logra atender a las necesidades contingentes de la población e intervenir brechas persistentes en espacios geográficos poco explorados. Además, el desarrollo de iniciativas de vinculación con el medio en modalidad en línea permite reducir tiempos de movilización, así como los costos asociados a espacios físicos para congregar a los grupos de interés. </w:t>
      </w:r>
    </w:p>
    <w:p w14:paraId="43F4EE79" w14:textId="266D7000" w:rsidR="00462061" w:rsidRDefault="00462061" w:rsidP="00E17AE4">
      <w:pPr>
        <w:ind w:left="708"/>
        <w:jc w:val="both"/>
      </w:pPr>
    </w:p>
    <w:p w14:paraId="4F6E73E2" w14:textId="0ED703BE" w:rsidR="00462061" w:rsidRDefault="00462061" w:rsidP="00E17AE4">
      <w:pPr>
        <w:ind w:left="708"/>
        <w:jc w:val="both"/>
      </w:pPr>
      <w:r>
        <w:t xml:space="preserve">Considerar la vinculación con el medio en modalidad en línea se encuentra estrechamente relacionado con el aumento sostenido de la matricula estudiantil en formatos en línea sincrónicos y asincrónicos, así como por la necesidad de ofrecer experiencias de aprendizaje significativas en relación con el entorno y las comunidades locales. </w:t>
      </w:r>
    </w:p>
    <w:p w14:paraId="69B737F5" w14:textId="34EAAB17" w:rsidR="00462061" w:rsidRDefault="00462061" w:rsidP="00E17AE4">
      <w:pPr>
        <w:ind w:left="708"/>
        <w:jc w:val="both"/>
      </w:pPr>
    </w:p>
    <w:p w14:paraId="3C3279D5" w14:textId="03839FD0" w:rsidR="00900ADE" w:rsidRDefault="00462061" w:rsidP="00900ADE">
      <w:pPr>
        <w:ind w:left="708"/>
        <w:jc w:val="both"/>
      </w:pPr>
      <w:r>
        <w:t xml:space="preserve">No </w:t>
      </w:r>
      <w:r w:rsidR="00900ADE">
        <w:t>obstante,</w:t>
      </w:r>
      <w:r>
        <w:t xml:space="preserve"> el crecimiento de la matricula, este no es proporcional al crecimiento en iniciativas de vinculación con el medio en esta modalidad. Esto se debe a la complejidad de adaptar las iniciativas de vinculación con el medio</w:t>
      </w:r>
      <w:r w:rsidR="00900ADE">
        <w:t xml:space="preserve"> a formatos en línea, en sus componentes instruccionales y de servicio. Además, docentes y equipos académicos son una barrera para este proceso</w:t>
      </w:r>
      <w:r w:rsidR="00E17AE4">
        <w:t xml:space="preserve"> (</w:t>
      </w:r>
      <w:r w:rsidR="00E17AE4">
        <w:t>Dailey-Hebert et al.</w:t>
      </w:r>
      <w:r w:rsidR="00E17AE4">
        <w:t>, 2008).</w:t>
      </w:r>
      <w:r w:rsidR="00900ADE">
        <w:t xml:space="preserve"> Estas adaptaciones son sumamente importantes porque de no ser satisfactorias, el perjuicio hacia los beneficiarios será mayor que el beneficio, mientras que las tasas de no respuesta frente a la intervención aumentarían.</w:t>
      </w:r>
    </w:p>
    <w:p w14:paraId="6B96B0DF" w14:textId="0F0C51B4" w:rsidR="00900ADE" w:rsidRDefault="00900ADE" w:rsidP="00900ADE">
      <w:pPr>
        <w:ind w:left="708"/>
        <w:jc w:val="both"/>
      </w:pPr>
    </w:p>
    <w:p w14:paraId="606040FB" w14:textId="3EEF55B3" w:rsidR="00387501" w:rsidRDefault="00900ADE" w:rsidP="00387501">
      <w:pPr>
        <w:ind w:left="708"/>
        <w:jc w:val="both"/>
      </w:pPr>
      <w:r>
        <w:t>Con todo, se advierte que desarrollar iniciativas de vinculación con el medio en modalidad en línea son beneficiosas porque permiten sortear limitaciones geográficas o de acceso a ciertos lugares, permiten la participación de grupos de la población que de otra forma no podrían participar</w:t>
      </w:r>
      <w:r w:rsidR="00387501">
        <w:t xml:space="preserve">. Ejemplo de estos grupos lo constituyen las personas en situación de discapacidad, personas en zonas aisladas o que no cuentan con una institución de educación </w:t>
      </w:r>
      <w:r w:rsidR="00387501">
        <w:lastRenderedPageBreak/>
        <w:t>superior cerca, también personas introvertidas y/o tímidas</w:t>
      </w:r>
      <w:r w:rsidR="00E17AE4">
        <w:t xml:space="preserve"> </w:t>
      </w:r>
      <w:r w:rsidR="00E17AE4">
        <w:t>(</w:t>
      </w:r>
      <w:r w:rsidR="00C82224">
        <w:t>Seifer</w:t>
      </w:r>
      <w:r w:rsidR="00C82224">
        <w:t xml:space="preserve"> y</w:t>
      </w:r>
      <w:r w:rsidR="00C82224">
        <w:t xml:space="preserve"> Mihalynuk, 2005</w:t>
      </w:r>
      <w:r w:rsidR="00C82224">
        <w:t xml:space="preserve">; </w:t>
      </w:r>
      <w:r w:rsidR="00E17AE4">
        <w:t xml:space="preserve">Malvey, Hamby, </w:t>
      </w:r>
      <w:r w:rsidR="00C82224">
        <w:t>y</w:t>
      </w:r>
      <w:r w:rsidR="00E17AE4">
        <w:t xml:space="preserve"> Fottler, 2006</w:t>
      </w:r>
      <w:r w:rsidR="00E17AE4">
        <w:t xml:space="preserve">, </w:t>
      </w:r>
      <w:r w:rsidR="00E17AE4">
        <w:t xml:space="preserve">Strait </w:t>
      </w:r>
      <w:r w:rsidR="00C82224">
        <w:t>y</w:t>
      </w:r>
      <w:r w:rsidR="00E17AE4">
        <w:t xml:space="preserve"> Hamerlinck, 2010</w:t>
      </w:r>
      <w:r w:rsidR="00C82224">
        <w:t xml:space="preserve">). </w:t>
      </w:r>
    </w:p>
    <w:p w14:paraId="7EB78A6B" w14:textId="62461544" w:rsidR="00387501" w:rsidRDefault="00387501" w:rsidP="00387501">
      <w:pPr>
        <w:ind w:left="708"/>
        <w:jc w:val="both"/>
      </w:pPr>
    </w:p>
    <w:p w14:paraId="162A1A99" w14:textId="45D1165B" w:rsidR="00E17AE4" w:rsidRDefault="00387501" w:rsidP="00387501">
      <w:pPr>
        <w:ind w:left="708"/>
        <w:jc w:val="both"/>
      </w:pPr>
      <w:r>
        <w:t>Por otro lado, la gestión de socios-comunitarios y beneficiarios para el despliegue de iniciativas de vinculación con el medio en modalidad en línea permite sobrellevar las barreras geográficas que supone la presencia física de una institución en cierto espacio geográfico, lo que permite acceder a otras regiones y países</w:t>
      </w:r>
      <w:r w:rsidR="00C82224">
        <w:t xml:space="preserve"> (</w:t>
      </w:r>
      <w:r w:rsidR="00C82224">
        <w:t>Malvey et al., 2006).</w:t>
      </w:r>
    </w:p>
    <w:p w14:paraId="0153841E" w14:textId="7C002B51" w:rsidR="00387501" w:rsidRDefault="00387501" w:rsidP="00387501">
      <w:pPr>
        <w:ind w:left="708"/>
        <w:jc w:val="both"/>
      </w:pPr>
    </w:p>
    <w:p w14:paraId="2D8ABA04" w14:textId="75FB9D38" w:rsidR="00387501" w:rsidRDefault="00387501" w:rsidP="00387501">
      <w:pPr>
        <w:ind w:left="708"/>
        <w:jc w:val="both"/>
      </w:pPr>
      <w:r>
        <w:t xml:space="preserve">Más allá de los beneficios planteados respecto al despliegue de iniciativas de vinculación con el medio en modalidad en línea, es importante reconocer que esta no puede reemplazar una serie de necesidades y servicios prácticos requeridos por las comunidades. De este esta perspectiva es relevante considerar el balance que puede establecer el sistema de educación superior ofreciendo iniciativas en distintas modalidades para así, en conjunto, contribuir a las brechas del país. </w:t>
      </w:r>
    </w:p>
    <w:p w14:paraId="50CB5DCF" w14:textId="24DAC0C4" w:rsidR="00387501" w:rsidRDefault="00387501" w:rsidP="00387501">
      <w:pPr>
        <w:ind w:left="708"/>
        <w:jc w:val="both"/>
      </w:pPr>
    </w:p>
    <w:p w14:paraId="0734E74A" w14:textId="0E4C0BBC" w:rsidR="00E80CE1" w:rsidRDefault="00387501" w:rsidP="00387501">
      <w:pPr>
        <w:ind w:left="708"/>
        <w:jc w:val="both"/>
      </w:pPr>
      <w:r>
        <w:t>Finalmente, es pertinente observar el despliegue de iniciativas de vinculación con el medio en modalidad en línea como una oportunidad para proveer de significado a las experiencias de aprendizaje de estudiantes que eligen este tipo de formatos de estudio, así como para acceder a necesidades no observadas de las comunidades.</w:t>
      </w:r>
    </w:p>
    <w:p w14:paraId="5375533C" w14:textId="5706F951" w:rsidR="00C82224" w:rsidRDefault="00C82224" w:rsidP="00C82224">
      <w:pPr>
        <w:ind w:left="708"/>
        <w:jc w:val="both"/>
      </w:pPr>
    </w:p>
    <w:p w14:paraId="41976E12" w14:textId="166AE4C5" w:rsidR="00C82224" w:rsidRDefault="00C82224" w:rsidP="00C82224">
      <w:pPr>
        <w:ind w:left="708"/>
        <w:jc w:val="both"/>
        <w:rPr>
          <w:b/>
          <w:bCs/>
        </w:rPr>
      </w:pPr>
      <w:r w:rsidRPr="00E80CE1">
        <w:rPr>
          <w:b/>
          <w:bCs/>
        </w:rPr>
        <w:t>Reflexiones de la vinculación con el medio en modalidad en línea</w:t>
      </w:r>
    </w:p>
    <w:p w14:paraId="315955B1" w14:textId="3AD59A0E" w:rsidR="00387501" w:rsidRDefault="00387501" w:rsidP="00C82224">
      <w:pPr>
        <w:ind w:left="708"/>
        <w:jc w:val="both"/>
      </w:pPr>
      <w:r w:rsidRPr="00387501">
        <w:t>Algunas reflexiones que surgen de la implementación de iniciativas de vinculación con el medio en modalidad en línea se relacionan con los procesos de adaptación respecto a los entornos presenciales, así como en la necesidad de reflexionar sobre lo que se hace y promover la generación activa de soluciones en conjunto con la comunidad.</w:t>
      </w:r>
    </w:p>
    <w:p w14:paraId="2F83D052" w14:textId="6EDBAD55" w:rsidR="00387501" w:rsidRDefault="00387501" w:rsidP="00C82224">
      <w:pPr>
        <w:ind w:left="708"/>
        <w:jc w:val="both"/>
      </w:pPr>
    </w:p>
    <w:p w14:paraId="7C958405" w14:textId="6E2C3B81" w:rsidR="00387501" w:rsidRDefault="00387501" w:rsidP="00C82224">
      <w:pPr>
        <w:ind w:left="708"/>
        <w:jc w:val="both"/>
      </w:pPr>
      <w:r>
        <w:t xml:space="preserve">En primer lugar, creemos necesario simplificar la experiencia. Por simplificar la experiencia nos referimos a la necesidad de ajustar las intervenciones a las necesidades del entorno y a las posibilidades que la modalidad en línea nos brinda. Para esto, es necesario trabajar directamente con los socios-comunitarios y beneficiarios, comprender su realidad, entre otros. </w:t>
      </w:r>
      <w:r w:rsidR="00C01F86">
        <w:t xml:space="preserve">En segundo lugar, y complementando lo anterior, es pertinente pensar activamente en las necesidades de la comunidad. A través de esto, podemos activar diversad metodologías para acceder y aproximarse de forma precisa a los requerimientos. Frente a esto, </w:t>
      </w:r>
      <w:r w:rsidR="00C01F86">
        <w:t>se advierte que las necesidades de las comunidades son cambiantes y contingentes, por lo que la reflexión sobre las necesidades se vuelve fundamental</w:t>
      </w:r>
      <w:r w:rsidR="00C01F86">
        <w:t>. En tercer lugar, la reflexión. Es muy importante generar espacios para abordar con estudiantes la experiencia de aprendizaje y de colaboración con el entorno que están desarrollando. Así se podrán realizar los ajustes respectivos para mejorar la intervención.</w:t>
      </w:r>
    </w:p>
    <w:p w14:paraId="31F3B4A2" w14:textId="6D656C90" w:rsidR="00C01F86" w:rsidRDefault="00C01F86" w:rsidP="00C82224">
      <w:pPr>
        <w:ind w:left="708"/>
        <w:jc w:val="both"/>
      </w:pPr>
    </w:p>
    <w:p w14:paraId="6702B59D" w14:textId="3351D41F" w:rsidR="00C01F86" w:rsidRDefault="00C01F86" w:rsidP="00C82224">
      <w:pPr>
        <w:ind w:left="708"/>
        <w:jc w:val="both"/>
      </w:pPr>
      <w:r>
        <w:t xml:space="preserve">Finalmente, es necesario considerar que la modalidad en línea no constituye una barrera para el despliegue de la vinculación con el medio. Más bien, resulta un facilitador de proceso porque permite canalizar una serie de temáticas que, de lo contrario, no serían abordadas, permite aproximarse a nuevos socios-comunitarios y beneficiarios que, de lo contrario, no podrían acceder por barreras geográficas, y permiten fortalecer las experiencias de aprendizaje de estudiantes en modalidades en línea </w:t>
      </w:r>
    </w:p>
    <w:p w14:paraId="654372FD" w14:textId="679F49EC" w:rsidR="00C01F86" w:rsidRDefault="00C01F86" w:rsidP="00C82224">
      <w:pPr>
        <w:ind w:left="708"/>
        <w:jc w:val="both"/>
      </w:pPr>
    </w:p>
    <w:p w14:paraId="64E3BFCB" w14:textId="5C6C71E5" w:rsidR="00C01F86" w:rsidRPr="00387501" w:rsidRDefault="00C01F86" w:rsidP="00C82224">
      <w:pPr>
        <w:ind w:left="708"/>
        <w:jc w:val="both"/>
      </w:pPr>
      <w:r>
        <w:lastRenderedPageBreak/>
        <w:t>Es así como la vinculación con el medio en modalidad en línea tiene el potencial de superar una serie de brechas para acercarnos a las comunidades locales, superar la barrera de la presencialidad y acceder a espacios geográficos difíciles para favorecer la pertinencia local.</w:t>
      </w:r>
    </w:p>
    <w:p w14:paraId="54DEE7A7" w14:textId="77777777" w:rsidR="00C82224" w:rsidRDefault="00C82224" w:rsidP="00F1003C"/>
    <w:p w14:paraId="23E62FAA" w14:textId="7BBCCA6D" w:rsidR="006679C7" w:rsidRPr="00B701FD" w:rsidRDefault="00F1003C" w:rsidP="00F1003C">
      <w:pPr>
        <w:rPr>
          <w:b/>
          <w:bCs/>
        </w:rPr>
      </w:pPr>
      <w:r w:rsidRPr="00B701FD">
        <w:rPr>
          <w:b/>
          <w:bCs/>
        </w:rPr>
        <w:t>Conclusión</w:t>
      </w:r>
    </w:p>
    <w:p w14:paraId="584BBEB6" w14:textId="6A2E9953" w:rsidR="006679C7" w:rsidRDefault="006679C7" w:rsidP="00B55C66">
      <w:pPr>
        <w:jc w:val="both"/>
      </w:pPr>
      <w:r>
        <w:t>Las conclusiones de la ponencia se enfocan en el desafío que los nuevos formatos de estudio plantean para el despliegue de iniciativas de vinculación con el medio y, sobre todo, como las instituciones se adaptan a estas necesidades.</w:t>
      </w:r>
      <w:r w:rsidR="00B55C66">
        <w:t xml:space="preserve"> En esta línea, se observa que la integración de iniciativas de vinculación con el medio en modalidad en línea refuerza el proceso de enseñanza y aprendizaje de aquellos estudiantes que estudian en esta modalidad.</w:t>
      </w:r>
    </w:p>
    <w:p w14:paraId="18BCF399" w14:textId="23DA0462" w:rsidR="00B55C66" w:rsidRDefault="00B55C66" w:rsidP="00B55C66">
      <w:pPr>
        <w:jc w:val="both"/>
      </w:pPr>
    </w:p>
    <w:p w14:paraId="7DE6E83C" w14:textId="4E1BAAE4" w:rsidR="00B55C66" w:rsidRDefault="00B55C66" w:rsidP="00B55C66">
      <w:pPr>
        <w:jc w:val="both"/>
      </w:pPr>
      <w:r>
        <w:t>Se reconoce que para implementar iniciativas de vinculación con el medio en modalidad en línea es necesario establecer una serie de adaptaciones metodológicas que robustecen el relacionamiento que establece una institución de educación superior con su entorno, debo a que se amplían los horizontes socioespaciales en los que se interviene.</w:t>
      </w:r>
    </w:p>
    <w:p w14:paraId="1677C300" w14:textId="0B808622" w:rsidR="00B55C66" w:rsidRDefault="00B55C66" w:rsidP="00B55C66">
      <w:pPr>
        <w:jc w:val="both"/>
      </w:pPr>
    </w:p>
    <w:p w14:paraId="4923A489" w14:textId="3CED8B43" w:rsidR="006679C7" w:rsidRDefault="00B55C66" w:rsidP="006679C7">
      <w:pPr>
        <w:jc w:val="both"/>
      </w:pPr>
      <w:r>
        <w:t xml:space="preserve">Los beneficios de estas iniciativas se enfocan en sortear </w:t>
      </w:r>
      <w:r w:rsidR="006679C7">
        <w:t>limitaciones geográficas o de acceso, permiten que ciertos grupos de población accedan a estos servicios, y amplia el campo de intervención de las instituciones de educación superior.</w:t>
      </w:r>
    </w:p>
    <w:p w14:paraId="776BE772" w14:textId="77777777" w:rsidR="006679C7" w:rsidRDefault="006679C7" w:rsidP="006679C7">
      <w:pPr>
        <w:jc w:val="both"/>
      </w:pPr>
    </w:p>
    <w:p w14:paraId="3B8BAE26" w14:textId="451B3956" w:rsidR="006679C7" w:rsidRDefault="006679C7" w:rsidP="00B55C66">
      <w:pPr>
        <w:jc w:val="both"/>
      </w:pPr>
      <w:r>
        <w:t>Finalmente, dentro de los aprendizajes en torno al despliegue de iniciativas de vinculación con el medio en línea se considera que este formato resulta un facilitador del proceso porque permite canalizar una serie de temáticas que, de lo contrario, no serían abordadas, permite aproximarse a nuevos socios-comunitarios y beneficiarios que, de lo contrario, no podrían acceder por barreras geográficas, y permiten fortalecer las experiencias de aprendizaje de estudiantes en modalidades en línea.</w:t>
      </w:r>
    </w:p>
    <w:p w14:paraId="40737F0C" w14:textId="77777777" w:rsidR="00B55C66" w:rsidRPr="00B55C66" w:rsidRDefault="00B55C66" w:rsidP="00B55C66">
      <w:pPr>
        <w:jc w:val="both"/>
      </w:pPr>
    </w:p>
    <w:p w14:paraId="5658AA96" w14:textId="1BBCF83B" w:rsidR="006679C7" w:rsidRPr="006679C7" w:rsidRDefault="00F1003C" w:rsidP="006679C7">
      <w:pPr>
        <w:rPr>
          <w:b/>
          <w:bCs/>
        </w:rPr>
      </w:pPr>
      <w:r w:rsidRPr="006679C7">
        <w:rPr>
          <w:b/>
          <w:bCs/>
        </w:rPr>
        <w:t>Desafíos futuros</w:t>
      </w:r>
    </w:p>
    <w:p w14:paraId="1A7BACCA" w14:textId="143A4D87" w:rsidR="006679C7" w:rsidRDefault="006679C7" w:rsidP="006679C7">
      <w:pPr>
        <w:jc w:val="both"/>
      </w:pPr>
      <w:r>
        <w:t>Dentro de los desafíos a futuro se considera elaborar un repositorio de buenas prácticas en vinculación con el medio en modalidad en línea. De esta forma, se busca relevar las experiencias de distintas instituciones en la implementación de iniciativas en este formato.</w:t>
      </w:r>
    </w:p>
    <w:p w14:paraId="3E903074" w14:textId="77777777" w:rsidR="00E84F43" w:rsidRDefault="00E84F43" w:rsidP="00F1003C"/>
    <w:p w14:paraId="5D28C670" w14:textId="71096D2C" w:rsidR="00F1003C" w:rsidRPr="00F30566" w:rsidRDefault="00F1003C" w:rsidP="00F1003C">
      <w:pPr>
        <w:rPr>
          <w:b/>
          <w:bCs/>
        </w:rPr>
      </w:pPr>
      <w:r w:rsidRPr="00F30566">
        <w:rPr>
          <w:b/>
          <w:bCs/>
        </w:rPr>
        <w:t>Referencias</w:t>
      </w:r>
    </w:p>
    <w:p w14:paraId="2ADCAC3F" w14:textId="11A6222C" w:rsidR="00F30566" w:rsidRDefault="00F30566" w:rsidP="00F30566">
      <w:pPr>
        <w:pStyle w:val="Prrafodelista"/>
        <w:numPr>
          <w:ilvl w:val="0"/>
          <w:numId w:val="12"/>
        </w:numPr>
      </w:pPr>
      <w:r>
        <w:t>Jacoby, Barbara. “Service-Learning in Today’s Higher Education.” In Service-Learning in Higher Education: Concepts and Practices, edited by Barbara Jacoby &amp; Associates, 3-25. San Francisco, CA: Jossey-Bass, 1996</w:t>
      </w:r>
    </w:p>
    <w:p w14:paraId="35122A5B" w14:textId="38C24BF5" w:rsidR="00621B8E" w:rsidRDefault="00F30566" w:rsidP="00B2399C">
      <w:pPr>
        <w:pStyle w:val="Prrafodelista"/>
        <w:numPr>
          <w:ilvl w:val="0"/>
          <w:numId w:val="12"/>
        </w:numPr>
      </w:pPr>
      <w:r>
        <w:t>Kolb, Alice Y. and Kolb, David A. Experiential learning theory: A dynamic, holistic approach to management learning, education and development. In SAGE Handbook of Management Learning, Education and Development, edited by Steve J. Armstrong and Cynthia V. Fukami, 42–68. London, UK: SAGE Publications Ltd., 2009.</w:t>
      </w:r>
    </w:p>
    <w:p w14:paraId="0973F11C" w14:textId="77777777" w:rsidR="006679C7" w:rsidRDefault="006679C7" w:rsidP="006679C7">
      <w:pPr>
        <w:pStyle w:val="Prrafodelista"/>
        <w:numPr>
          <w:ilvl w:val="0"/>
          <w:numId w:val="12"/>
        </w:numPr>
      </w:pPr>
      <w:r>
        <w:t>Echeverri, Rafael. Reflexiones sobre lo rural: economía rural, economía de territorios. En: DIRVEN, Martine, et al. Hacia una nueva definición de «rural» con fines estadísticos en América Latina. Santiago, CEPAL. 2011. P. 13-20.</w:t>
      </w:r>
    </w:p>
    <w:p w14:paraId="3FF58169" w14:textId="77777777" w:rsidR="006679C7" w:rsidRDefault="006679C7" w:rsidP="006679C7">
      <w:pPr>
        <w:pStyle w:val="Prrafodelista"/>
        <w:numPr>
          <w:ilvl w:val="0"/>
          <w:numId w:val="12"/>
        </w:numPr>
      </w:pPr>
      <w:r>
        <w:t>Fuster, Xenia. (2016). La histórica deuda de las políticas sociales: pertinencia territorial.: El caso del programa habitabilidad, Chile. Revista INVI, 31(86), 61-88. https://dx.doi.org/10.4067/S0718-83582016000100003</w:t>
      </w:r>
    </w:p>
    <w:p w14:paraId="48726280" w14:textId="77777777" w:rsidR="006679C7" w:rsidRDefault="006679C7" w:rsidP="006679C7">
      <w:pPr>
        <w:pStyle w:val="Prrafodelista"/>
        <w:numPr>
          <w:ilvl w:val="0"/>
          <w:numId w:val="12"/>
        </w:numPr>
      </w:pPr>
      <w:r>
        <w:lastRenderedPageBreak/>
        <w:t>Serrano, Claudia (2010). Política de desarrollo territorial en Chile. RIMISP – Centro Latinoamericano para el Desarrollo Rural</w:t>
      </w:r>
    </w:p>
    <w:p w14:paraId="67399BAB" w14:textId="77777777" w:rsidR="006679C7" w:rsidRDefault="006679C7" w:rsidP="006679C7">
      <w:pPr>
        <w:pStyle w:val="Prrafodelista"/>
        <w:numPr>
          <w:ilvl w:val="0"/>
          <w:numId w:val="12"/>
        </w:numPr>
      </w:pPr>
      <w:r>
        <w:t>Raczynski, D. (1995) Focalizacion de programas sociales: Lecciones de la experiencia chilena. In: Pizarro, C., Raczynski, D. and Vial, J., Eds., Politicas economicas y sociales en el Chile democratico, CIEPLAN-UNICEF, Santiago.</w:t>
      </w:r>
    </w:p>
    <w:p w14:paraId="10E8CE0C" w14:textId="77777777" w:rsidR="006679C7" w:rsidRDefault="006679C7" w:rsidP="006679C7"/>
    <w:sectPr w:rsidR="006679C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118379" w14:textId="77777777" w:rsidR="00ED1ABF" w:rsidRDefault="00ED1ABF" w:rsidP="00B03C82">
      <w:r>
        <w:separator/>
      </w:r>
    </w:p>
  </w:endnote>
  <w:endnote w:type="continuationSeparator" w:id="0">
    <w:p w14:paraId="3CE5AE19" w14:textId="77777777" w:rsidR="00ED1ABF" w:rsidRDefault="00ED1ABF" w:rsidP="00B03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158916" w14:textId="77777777" w:rsidR="00ED1ABF" w:rsidRDefault="00ED1ABF" w:rsidP="00B03C82">
      <w:r>
        <w:separator/>
      </w:r>
    </w:p>
  </w:footnote>
  <w:footnote w:type="continuationSeparator" w:id="0">
    <w:p w14:paraId="433CA30F" w14:textId="77777777" w:rsidR="00ED1ABF" w:rsidRDefault="00ED1ABF" w:rsidP="00B03C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F0022"/>
    <w:multiLevelType w:val="hybridMultilevel"/>
    <w:tmpl w:val="902A3672"/>
    <w:lvl w:ilvl="0" w:tplc="046E4366">
      <w:start w:val="1"/>
      <w:numFmt w:val="bullet"/>
      <w:lvlText w:val="•"/>
      <w:lvlJc w:val="left"/>
      <w:pPr>
        <w:tabs>
          <w:tab w:val="num" w:pos="720"/>
        </w:tabs>
        <w:ind w:left="720" w:hanging="360"/>
      </w:pPr>
      <w:rPr>
        <w:rFonts w:ascii="Arial" w:hAnsi="Arial" w:hint="default"/>
      </w:rPr>
    </w:lvl>
    <w:lvl w:ilvl="1" w:tplc="F4C2812C">
      <w:start w:val="1"/>
      <w:numFmt w:val="bullet"/>
      <w:lvlText w:val="•"/>
      <w:lvlJc w:val="left"/>
      <w:pPr>
        <w:tabs>
          <w:tab w:val="num" w:pos="1440"/>
        </w:tabs>
        <w:ind w:left="1440" w:hanging="360"/>
      </w:pPr>
      <w:rPr>
        <w:rFonts w:ascii="Arial" w:hAnsi="Arial" w:hint="default"/>
      </w:rPr>
    </w:lvl>
    <w:lvl w:ilvl="2" w:tplc="EF1460CA" w:tentative="1">
      <w:start w:val="1"/>
      <w:numFmt w:val="bullet"/>
      <w:lvlText w:val="•"/>
      <w:lvlJc w:val="left"/>
      <w:pPr>
        <w:tabs>
          <w:tab w:val="num" w:pos="2160"/>
        </w:tabs>
        <w:ind w:left="2160" w:hanging="360"/>
      </w:pPr>
      <w:rPr>
        <w:rFonts w:ascii="Arial" w:hAnsi="Arial" w:hint="default"/>
      </w:rPr>
    </w:lvl>
    <w:lvl w:ilvl="3" w:tplc="BE2C3068" w:tentative="1">
      <w:start w:val="1"/>
      <w:numFmt w:val="bullet"/>
      <w:lvlText w:val="•"/>
      <w:lvlJc w:val="left"/>
      <w:pPr>
        <w:tabs>
          <w:tab w:val="num" w:pos="2880"/>
        </w:tabs>
        <w:ind w:left="2880" w:hanging="360"/>
      </w:pPr>
      <w:rPr>
        <w:rFonts w:ascii="Arial" w:hAnsi="Arial" w:hint="default"/>
      </w:rPr>
    </w:lvl>
    <w:lvl w:ilvl="4" w:tplc="50125478" w:tentative="1">
      <w:start w:val="1"/>
      <w:numFmt w:val="bullet"/>
      <w:lvlText w:val="•"/>
      <w:lvlJc w:val="left"/>
      <w:pPr>
        <w:tabs>
          <w:tab w:val="num" w:pos="3600"/>
        </w:tabs>
        <w:ind w:left="3600" w:hanging="360"/>
      </w:pPr>
      <w:rPr>
        <w:rFonts w:ascii="Arial" w:hAnsi="Arial" w:hint="default"/>
      </w:rPr>
    </w:lvl>
    <w:lvl w:ilvl="5" w:tplc="F4FE6DF0" w:tentative="1">
      <w:start w:val="1"/>
      <w:numFmt w:val="bullet"/>
      <w:lvlText w:val="•"/>
      <w:lvlJc w:val="left"/>
      <w:pPr>
        <w:tabs>
          <w:tab w:val="num" w:pos="4320"/>
        </w:tabs>
        <w:ind w:left="4320" w:hanging="360"/>
      </w:pPr>
      <w:rPr>
        <w:rFonts w:ascii="Arial" w:hAnsi="Arial" w:hint="default"/>
      </w:rPr>
    </w:lvl>
    <w:lvl w:ilvl="6" w:tplc="F752A450" w:tentative="1">
      <w:start w:val="1"/>
      <w:numFmt w:val="bullet"/>
      <w:lvlText w:val="•"/>
      <w:lvlJc w:val="left"/>
      <w:pPr>
        <w:tabs>
          <w:tab w:val="num" w:pos="5040"/>
        </w:tabs>
        <w:ind w:left="5040" w:hanging="360"/>
      </w:pPr>
      <w:rPr>
        <w:rFonts w:ascii="Arial" w:hAnsi="Arial" w:hint="default"/>
      </w:rPr>
    </w:lvl>
    <w:lvl w:ilvl="7" w:tplc="3228983A" w:tentative="1">
      <w:start w:val="1"/>
      <w:numFmt w:val="bullet"/>
      <w:lvlText w:val="•"/>
      <w:lvlJc w:val="left"/>
      <w:pPr>
        <w:tabs>
          <w:tab w:val="num" w:pos="5760"/>
        </w:tabs>
        <w:ind w:left="5760" w:hanging="360"/>
      </w:pPr>
      <w:rPr>
        <w:rFonts w:ascii="Arial" w:hAnsi="Arial" w:hint="default"/>
      </w:rPr>
    </w:lvl>
    <w:lvl w:ilvl="8" w:tplc="5D6A1EF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08A4E5B"/>
    <w:multiLevelType w:val="multilevel"/>
    <w:tmpl w:val="71BC9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C465A2"/>
    <w:multiLevelType w:val="hybridMultilevel"/>
    <w:tmpl w:val="8112F7F2"/>
    <w:lvl w:ilvl="0" w:tplc="83F25652">
      <w:start w:val="1"/>
      <w:numFmt w:val="bullet"/>
      <w:lvlText w:val="•"/>
      <w:lvlJc w:val="left"/>
      <w:pPr>
        <w:tabs>
          <w:tab w:val="num" w:pos="720"/>
        </w:tabs>
        <w:ind w:left="720" w:hanging="360"/>
      </w:pPr>
      <w:rPr>
        <w:rFonts w:ascii="Arial" w:hAnsi="Arial" w:hint="default"/>
      </w:rPr>
    </w:lvl>
    <w:lvl w:ilvl="1" w:tplc="F370C0D2">
      <w:start w:val="1"/>
      <w:numFmt w:val="bullet"/>
      <w:lvlText w:val="•"/>
      <w:lvlJc w:val="left"/>
      <w:pPr>
        <w:tabs>
          <w:tab w:val="num" w:pos="1440"/>
        </w:tabs>
        <w:ind w:left="1440" w:hanging="360"/>
      </w:pPr>
      <w:rPr>
        <w:rFonts w:ascii="Arial" w:hAnsi="Arial" w:hint="default"/>
      </w:rPr>
    </w:lvl>
    <w:lvl w:ilvl="2" w:tplc="BAF84BA8" w:tentative="1">
      <w:start w:val="1"/>
      <w:numFmt w:val="bullet"/>
      <w:lvlText w:val="•"/>
      <w:lvlJc w:val="left"/>
      <w:pPr>
        <w:tabs>
          <w:tab w:val="num" w:pos="2160"/>
        </w:tabs>
        <w:ind w:left="2160" w:hanging="360"/>
      </w:pPr>
      <w:rPr>
        <w:rFonts w:ascii="Arial" w:hAnsi="Arial" w:hint="default"/>
      </w:rPr>
    </w:lvl>
    <w:lvl w:ilvl="3" w:tplc="F9E8ED42" w:tentative="1">
      <w:start w:val="1"/>
      <w:numFmt w:val="bullet"/>
      <w:lvlText w:val="•"/>
      <w:lvlJc w:val="left"/>
      <w:pPr>
        <w:tabs>
          <w:tab w:val="num" w:pos="2880"/>
        </w:tabs>
        <w:ind w:left="2880" w:hanging="360"/>
      </w:pPr>
      <w:rPr>
        <w:rFonts w:ascii="Arial" w:hAnsi="Arial" w:hint="default"/>
      </w:rPr>
    </w:lvl>
    <w:lvl w:ilvl="4" w:tplc="B7502352" w:tentative="1">
      <w:start w:val="1"/>
      <w:numFmt w:val="bullet"/>
      <w:lvlText w:val="•"/>
      <w:lvlJc w:val="left"/>
      <w:pPr>
        <w:tabs>
          <w:tab w:val="num" w:pos="3600"/>
        </w:tabs>
        <w:ind w:left="3600" w:hanging="360"/>
      </w:pPr>
      <w:rPr>
        <w:rFonts w:ascii="Arial" w:hAnsi="Arial" w:hint="default"/>
      </w:rPr>
    </w:lvl>
    <w:lvl w:ilvl="5" w:tplc="72CC6AF0" w:tentative="1">
      <w:start w:val="1"/>
      <w:numFmt w:val="bullet"/>
      <w:lvlText w:val="•"/>
      <w:lvlJc w:val="left"/>
      <w:pPr>
        <w:tabs>
          <w:tab w:val="num" w:pos="4320"/>
        </w:tabs>
        <w:ind w:left="4320" w:hanging="360"/>
      </w:pPr>
      <w:rPr>
        <w:rFonts w:ascii="Arial" w:hAnsi="Arial" w:hint="default"/>
      </w:rPr>
    </w:lvl>
    <w:lvl w:ilvl="6" w:tplc="D7EAD4F0" w:tentative="1">
      <w:start w:val="1"/>
      <w:numFmt w:val="bullet"/>
      <w:lvlText w:val="•"/>
      <w:lvlJc w:val="left"/>
      <w:pPr>
        <w:tabs>
          <w:tab w:val="num" w:pos="5040"/>
        </w:tabs>
        <w:ind w:left="5040" w:hanging="360"/>
      </w:pPr>
      <w:rPr>
        <w:rFonts w:ascii="Arial" w:hAnsi="Arial" w:hint="default"/>
      </w:rPr>
    </w:lvl>
    <w:lvl w:ilvl="7" w:tplc="B5EEEA72" w:tentative="1">
      <w:start w:val="1"/>
      <w:numFmt w:val="bullet"/>
      <w:lvlText w:val="•"/>
      <w:lvlJc w:val="left"/>
      <w:pPr>
        <w:tabs>
          <w:tab w:val="num" w:pos="5760"/>
        </w:tabs>
        <w:ind w:left="5760" w:hanging="360"/>
      </w:pPr>
      <w:rPr>
        <w:rFonts w:ascii="Arial" w:hAnsi="Arial" w:hint="default"/>
      </w:rPr>
    </w:lvl>
    <w:lvl w:ilvl="8" w:tplc="C27CA89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1F76C97"/>
    <w:multiLevelType w:val="hybridMultilevel"/>
    <w:tmpl w:val="58A2D316"/>
    <w:lvl w:ilvl="0" w:tplc="3A949554">
      <w:start w:val="5"/>
      <w:numFmt w:val="bullet"/>
      <w:lvlText w:val=""/>
      <w:lvlJc w:val="left"/>
      <w:pPr>
        <w:ind w:left="1068" w:hanging="360"/>
      </w:pPr>
      <w:rPr>
        <w:rFonts w:ascii="Symbol" w:eastAsiaTheme="minorHAnsi" w:hAnsi="Symbol" w:cs="Calibri" w:hint="default"/>
      </w:rPr>
    </w:lvl>
    <w:lvl w:ilvl="1" w:tplc="340A0003" w:tentative="1">
      <w:start w:val="1"/>
      <w:numFmt w:val="bullet"/>
      <w:lvlText w:val="o"/>
      <w:lvlJc w:val="left"/>
      <w:pPr>
        <w:ind w:left="1788" w:hanging="360"/>
      </w:pPr>
      <w:rPr>
        <w:rFonts w:ascii="Courier New" w:hAnsi="Courier New" w:cs="Courier New" w:hint="default"/>
      </w:rPr>
    </w:lvl>
    <w:lvl w:ilvl="2" w:tplc="340A0005" w:tentative="1">
      <w:start w:val="1"/>
      <w:numFmt w:val="bullet"/>
      <w:lvlText w:val=""/>
      <w:lvlJc w:val="left"/>
      <w:pPr>
        <w:ind w:left="2508" w:hanging="360"/>
      </w:pPr>
      <w:rPr>
        <w:rFonts w:ascii="Wingdings" w:hAnsi="Wingdings" w:hint="default"/>
      </w:rPr>
    </w:lvl>
    <w:lvl w:ilvl="3" w:tplc="340A0001" w:tentative="1">
      <w:start w:val="1"/>
      <w:numFmt w:val="bullet"/>
      <w:lvlText w:val=""/>
      <w:lvlJc w:val="left"/>
      <w:pPr>
        <w:ind w:left="3228" w:hanging="360"/>
      </w:pPr>
      <w:rPr>
        <w:rFonts w:ascii="Symbol" w:hAnsi="Symbol" w:hint="default"/>
      </w:rPr>
    </w:lvl>
    <w:lvl w:ilvl="4" w:tplc="340A0003" w:tentative="1">
      <w:start w:val="1"/>
      <w:numFmt w:val="bullet"/>
      <w:lvlText w:val="o"/>
      <w:lvlJc w:val="left"/>
      <w:pPr>
        <w:ind w:left="3948" w:hanging="360"/>
      </w:pPr>
      <w:rPr>
        <w:rFonts w:ascii="Courier New" w:hAnsi="Courier New" w:cs="Courier New" w:hint="default"/>
      </w:rPr>
    </w:lvl>
    <w:lvl w:ilvl="5" w:tplc="340A0005" w:tentative="1">
      <w:start w:val="1"/>
      <w:numFmt w:val="bullet"/>
      <w:lvlText w:val=""/>
      <w:lvlJc w:val="left"/>
      <w:pPr>
        <w:ind w:left="4668" w:hanging="360"/>
      </w:pPr>
      <w:rPr>
        <w:rFonts w:ascii="Wingdings" w:hAnsi="Wingdings" w:hint="default"/>
      </w:rPr>
    </w:lvl>
    <w:lvl w:ilvl="6" w:tplc="340A0001" w:tentative="1">
      <w:start w:val="1"/>
      <w:numFmt w:val="bullet"/>
      <w:lvlText w:val=""/>
      <w:lvlJc w:val="left"/>
      <w:pPr>
        <w:ind w:left="5388" w:hanging="360"/>
      </w:pPr>
      <w:rPr>
        <w:rFonts w:ascii="Symbol" w:hAnsi="Symbol" w:hint="default"/>
      </w:rPr>
    </w:lvl>
    <w:lvl w:ilvl="7" w:tplc="340A0003" w:tentative="1">
      <w:start w:val="1"/>
      <w:numFmt w:val="bullet"/>
      <w:lvlText w:val="o"/>
      <w:lvlJc w:val="left"/>
      <w:pPr>
        <w:ind w:left="6108" w:hanging="360"/>
      </w:pPr>
      <w:rPr>
        <w:rFonts w:ascii="Courier New" w:hAnsi="Courier New" w:cs="Courier New" w:hint="default"/>
      </w:rPr>
    </w:lvl>
    <w:lvl w:ilvl="8" w:tplc="340A0005" w:tentative="1">
      <w:start w:val="1"/>
      <w:numFmt w:val="bullet"/>
      <w:lvlText w:val=""/>
      <w:lvlJc w:val="left"/>
      <w:pPr>
        <w:ind w:left="6828" w:hanging="360"/>
      </w:pPr>
      <w:rPr>
        <w:rFonts w:ascii="Wingdings" w:hAnsi="Wingdings" w:hint="default"/>
      </w:rPr>
    </w:lvl>
  </w:abstractNum>
  <w:abstractNum w:abstractNumId="4" w15:restartNumberingAfterBreak="0">
    <w:nsid w:val="18D30BB5"/>
    <w:multiLevelType w:val="multilevel"/>
    <w:tmpl w:val="7B0AA77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19061F11"/>
    <w:multiLevelType w:val="hybridMultilevel"/>
    <w:tmpl w:val="4FB68290"/>
    <w:lvl w:ilvl="0" w:tplc="141CC998">
      <w:start w:val="5"/>
      <w:numFmt w:val="bullet"/>
      <w:lvlText w:val=""/>
      <w:lvlJc w:val="left"/>
      <w:pPr>
        <w:ind w:left="1068" w:hanging="360"/>
      </w:pPr>
      <w:rPr>
        <w:rFonts w:ascii="Symbol" w:eastAsiaTheme="minorHAnsi" w:hAnsi="Symbol" w:cs="Calibri" w:hint="default"/>
      </w:rPr>
    </w:lvl>
    <w:lvl w:ilvl="1" w:tplc="340A0003" w:tentative="1">
      <w:start w:val="1"/>
      <w:numFmt w:val="bullet"/>
      <w:lvlText w:val="o"/>
      <w:lvlJc w:val="left"/>
      <w:pPr>
        <w:ind w:left="1788" w:hanging="360"/>
      </w:pPr>
      <w:rPr>
        <w:rFonts w:ascii="Courier New" w:hAnsi="Courier New" w:cs="Courier New" w:hint="default"/>
      </w:rPr>
    </w:lvl>
    <w:lvl w:ilvl="2" w:tplc="340A0005" w:tentative="1">
      <w:start w:val="1"/>
      <w:numFmt w:val="bullet"/>
      <w:lvlText w:val=""/>
      <w:lvlJc w:val="left"/>
      <w:pPr>
        <w:ind w:left="2508" w:hanging="360"/>
      </w:pPr>
      <w:rPr>
        <w:rFonts w:ascii="Wingdings" w:hAnsi="Wingdings" w:hint="default"/>
      </w:rPr>
    </w:lvl>
    <w:lvl w:ilvl="3" w:tplc="340A0001" w:tentative="1">
      <w:start w:val="1"/>
      <w:numFmt w:val="bullet"/>
      <w:lvlText w:val=""/>
      <w:lvlJc w:val="left"/>
      <w:pPr>
        <w:ind w:left="3228" w:hanging="360"/>
      </w:pPr>
      <w:rPr>
        <w:rFonts w:ascii="Symbol" w:hAnsi="Symbol" w:hint="default"/>
      </w:rPr>
    </w:lvl>
    <w:lvl w:ilvl="4" w:tplc="340A0003" w:tentative="1">
      <w:start w:val="1"/>
      <w:numFmt w:val="bullet"/>
      <w:lvlText w:val="o"/>
      <w:lvlJc w:val="left"/>
      <w:pPr>
        <w:ind w:left="3948" w:hanging="360"/>
      </w:pPr>
      <w:rPr>
        <w:rFonts w:ascii="Courier New" w:hAnsi="Courier New" w:cs="Courier New" w:hint="default"/>
      </w:rPr>
    </w:lvl>
    <w:lvl w:ilvl="5" w:tplc="340A0005" w:tentative="1">
      <w:start w:val="1"/>
      <w:numFmt w:val="bullet"/>
      <w:lvlText w:val=""/>
      <w:lvlJc w:val="left"/>
      <w:pPr>
        <w:ind w:left="4668" w:hanging="360"/>
      </w:pPr>
      <w:rPr>
        <w:rFonts w:ascii="Wingdings" w:hAnsi="Wingdings" w:hint="default"/>
      </w:rPr>
    </w:lvl>
    <w:lvl w:ilvl="6" w:tplc="340A0001" w:tentative="1">
      <w:start w:val="1"/>
      <w:numFmt w:val="bullet"/>
      <w:lvlText w:val=""/>
      <w:lvlJc w:val="left"/>
      <w:pPr>
        <w:ind w:left="5388" w:hanging="360"/>
      </w:pPr>
      <w:rPr>
        <w:rFonts w:ascii="Symbol" w:hAnsi="Symbol" w:hint="default"/>
      </w:rPr>
    </w:lvl>
    <w:lvl w:ilvl="7" w:tplc="340A0003" w:tentative="1">
      <w:start w:val="1"/>
      <w:numFmt w:val="bullet"/>
      <w:lvlText w:val="o"/>
      <w:lvlJc w:val="left"/>
      <w:pPr>
        <w:ind w:left="6108" w:hanging="360"/>
      </w:pPr>
      <w:rPr>
        <w:rFonts w:ascii="Courier New" w:hAnsi="Courier New" w:cs="Courier New" w:hint="default"/>
      </w:rPr>
    </w:lvl>
    <w:lvl w:ilvl="8" w:tplc="340A0005" w:tentative="1">
      <w:start w:val="1"/>
      <w:numFmt w:val="bullet"/>
      <w:lvlText w:val=""/>
      <w:lvlJc w:val="left"/>
      <w:pPr>
        <w:ind w:left="6828" w:hanging="360"/>
      </w:pPr>
      <w:rPr>
        <w:rFonts w:ascii="Wingdings" w:hAnsi="Wingdings" w:hint="default"/>
      </w:rPr>
    </w:lvl>
  </w:abstractNum>
  <w:abstractNum w:abstractNumId="6" w15:restartNumberingAfterBreak="0">
    <w:nsid w:val="199C2952"/>
    <w:multiLevelType w:val="hybridMultilevel"/>
    <w:tmpl w:val="A802D538"/>
    <w:lvl w:ilvl="0" w:tplc="04F6D1FE">
      <w:start w:val="5"/>
      <w:numFmt w:val="bullet"/>
      <w:lvlText w:val="-"/>
      <w:lvlJc w:val="left"/>
      <w:pPr>
        <w:ind w:left="1068" w:hanging="360"/>
      </w:pPr>
      <w:rPr>
        <w:rFonts w:ascii="Calibri" w:eastAsiaTheme="minorHAnsi" w:hAnsi="Calibri" w:cs="Calibri" w:hint="default"/>
      </w:rPr>
    </w:lvl>
    <w:lvl w:ilvl="1" w:tplc="340A0003" w:tentative="1">
      <w:start w:val="1"/>
      <w:numFmt w:val="bullet"/>
      <w:lvlText w:val="o"/>
      <w:lvlJc w:val="left"/>
      <w:pPr>
        <w:ind w:left="1788" w:hanging="360"/>
      </w:pPr>
      <w:rPr>
        <w:rFonts w:ascii="Courier New" w:hAnsi="Courier New" w:cs="Courier New" w:hint="default"/>
      </w:rPr>
    </w:lvl>
    <w:lvl w:ilvl="2" w:tplc="340A0005" w:tentative="1">
      <w:start w:val="1"/>
      <w:numFmt w:val="bullet"/>
      <w:lvlText w:val=""/>
      <w:lvlJc w:val="left"/>
      <w:pPr>
        <w:ind w:left="2508" w:hanging="360"/>
      </w:pPr>
      <w:rPr>
        <w:rFonts w:ascii="Wingdings" w:hAnsi="Wingdings" w:hint="default"/>
      </w:rPr>
    </w:lvl>
    <w:lvl w:ilvl="3" w:tplc="340A0001" w:tentative="1">
      <w:start w:val="1"/>
      <w:numFmt w:val="bullet"/>
      <w:lvlText w:val=""/>
      <w:lvlJc w:val="left"/>
      <w:pPr>
        <w:ind w:left="3228" w:hanging="360"/>
      </w:pPr>
      <w:rPr>
        <w:rFonts w:ascii="Symbol" w:hAnsi="Symbol" w:hint="default"/>
      </w:rPr>
    </w:lvl>
    <w:lvl w:ilvl="4" w:tplc="340A0003" w:tentative="1">
      <w:start w:val="1"/>
      <w:numFmt w:val="bullet"/>
      <w:lvlText w:val="o"/>
      <w:lvlJc w:val="left"/>
      <w:pPr>
        <w:ind w:left="3948" w:hanging="360"/>
      </w:pPr>
      <w:rPr>
        <w:rFonts w:ascii="Courier New" w:hAnsi="Courier New" w:cs="Courier New" w:hint="default"/>
      </w:rPr>
    </w:lvl>
    <w:lvl w:ilvl="5" w:tplc="340A0005" w:tentative="1">
      <w:start w:val="1"/>
      <w:numFmt w:val="bullet"/>
      <w:lvlText w:val=""/>
      <w:lvlJc w:val="left"/>
      <w:pPr>
        <w:ind w:left="4668" w:hanging="360"/>
      </w:pPr>
      <w:rPr>
        <w:rFonts w:ascii="Wingdings" w:hAnsi="Wingdings" w:hint="default"/>
      </w:rPr>
    </w:lvl>
    <w:lvl w:ilvl="6" w:tplc="340A0001" w:tentative="1">
      <w:start w:val="1"/>
      <w:numFmt w:val="bullet"/>
      <w:lvlText w:val=""/>
      <w:lvlJc w:val="left"/>
      <w:pPr>
        <w:ind w:left="5388" w:hanging="360"/>
      </w:pPr>
      <w:rPr>
        <w:rFonts w:ascii="Symbol" w:hAnsi="Symbol" w:hint="default"/>
      </w:rPr>
    </w:lvl>
    <w:lvl w:ilvl="7" w:tplc="340A0003" w:tentative="1">
      <w:start w:val="1"/>
      <w:numFmt w:val="bullet"/>
      <w:lvlText w:val="o"/>
      <w:lvlJc w:val="left"/>
      <w:pPr>
        <w:ind w:left="6108" w:hanging="360"/>
      </w:pPr>
      <w:rPr>
        <w:rFonts w:ascii="Courier New" w:hAnsi="Courier New" w:cs="Courier New" w:hint="default"/>
      </w:rPr>
    </w:lvl>
    <w:lvl w:ilvl="8" w:tplc="340A0005" w:tentative="1">
      <w:start w:val="1"/>
      <w:numFmt w:val="bullet"/>
      <w:lvlText w:val=""/>
      <w:lvlJc w:val="left"/>
      <w:pPr>
        <w:ind w:left="6828" w:hanging="360"/>
      </w:pPr>
      <w:rPr>
        <w:rFonts w:ascii="Wingdings" w:hAnsi="Wingdings" w:hint="default"/>
      </w:rPr>
    </w:lvl>
  </w:abstractNum>
  <w:abstractNum w:abstractNumId="7" w15:restartNumberingAfterBreak="0">
    <w:nsid w:val="1BB1790F"/>
    <w:multiLevelType w:val="multilevel"/>
    <w:tmpl w:val="0FCAF4C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25A864B0"/>
    <w:multiLevelType w:val="hybridMultilevel"/>
    <w:tmpl w:val="DA660E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310D7DA1"/>
    <w:multiLevelType w:val="multilevel"/>
    <w:tmpl w:val="948A1A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92E65D1"/>
    <w:multiLevelType w:val="hybridMultilevel"/>
    <w:tmpl w:val="BC4086DC"/>
    <w:lvl w:ilvl="0" w:tplc="340A0001">
      <w:start w:val="1"/>
      <w:numFmt w:val="bullet"/>
      <w:lvlText w:val=""/>
      <w:lvlJc w:val="left"/>
      <w:pPr>
        <w:ind w:left="1068" w:hanging="360"/>
      </w:pPr>
      <w:rPr>
        <w:rFonts w:ascii="Symbol" w:hAnsi="Symbol" w:hint="default"/>
      </w:rPr>
    </w:lvl>
    <w:lvl w:ilvl="1" w:tplc="340A0003" w:tentative="1">
      <w:start w:val="1"/>
      <w:numFmt w:val="bullet"/>
      <w:lvlText w:val="o"/>
      <w:lvlJc w:val="left"/>
      <w:pPr>
        <w:ind w:left="1788" w:hanging="360"/>
      </w:pPr>
      <w:rPr>
        <w:rFonts w:ascii="Courier New" w:hAnsi="Courier New" w:cs="Courier New" w:hint="default"/>
      </w:rPr>
    </w:lvl>
    <w:lvl w:ilvl="2" w:tplc="340A0005" w:tentative="1">
      <w:start w:val="1"/>
      <w:numFmt w:val="bullet"/>
      <w:lvlText w:val=""/>
      <w:lvlJc w:val="left"/>
      <w:pPr>
        <w:ind w:left="2508" w:hanging="360"/>
      </w:pPr>
      <w:rPr>
        <w:rFonts w:ascii="Wingdings" w:hAnsi="Wingdings" w:hint="default"/>
      </w:rPr>
    </w:lvl>
    <w:lvl w:ilvl="3" w:tplc="340A0001" w:tentative="1">
      <w:start w:val="1"/>
      <w:numFmt w:val="bullet"/>
      <w:lvlText w:val=""/>
      <w:lvlJc w:val="left"/>
      <w:pPr>
        <w:ind w:left="3228" w:hanging="360"/>
      </w:pPr>
      <w:rPr>
        <w:rFonts w:ascii="Symbol" w:hAnsi="Symbol" w:hint="default"/>
      </w:rPr>
    </w:lvl>
    <w:lvl w:ilvl="4" w:tplc="340A0003" w:tentative="1">
      <w:start w:val="1"/>
      <w:numFmt w:val="bullet"/>
      <w:lvlText w:val="o"/>
      <w:lvlJc w:val="left"/>
      <w:pPr>
        <w:ind w:left="3948" w:hanging="360"/>
      </w:pPr>
      <w:rPr>
        <w:rFonts w:ascii="Courier New" w:hAnsi="Courier New" w:cs="Courier New" w:hint="default"/>
      </w:rPr>
    </w:lvl>
    <w:lvl w:ilvl="5" w:tplc="340A0005" w:tentative="1">
      <w:start w:val="1"/>
      <w:numFmt w:val="bullet"/>
      <w:lvlText w:val=""/>
      <w:lvlJc w:val="left"/>
      <w:pPr>
        <w:ind w:left="4668" w:hanging="360"/>
      </w:pPr>
      <w:rPr>
        <w:rFonts w:ascii="Wingdings" w:hAnsi="Wingdings" w:hint="default"/>
      </w:rPr>
    </w:lvl>
    <w:lvl w:ilvl="6" w:tplc="340A0001" w:tentative="1">
      <w:start w:val="1"/>
      <w:numFmt w:val="bullet"/>
      <w:lvlText w:val=""/>
      <w:lvlJc w:val="left"/>
      <w:pPr>
        <w:ind w:left="5388" w:hanging="360"/>
      </w:pPr>
      <w:rPr>
        <w:rFonts w:ascii="Symbol" w:hAnsi="Symbol" w:hint="default"/>
      </w:rPr>
    </w:lvl>
    <w:lvl w:ilvl="7" w:tplc="340A0003" w:tentative="1">
      <w:start w:val="1"/>
      <w:numFmt w:val="bullet"/>
      <w:lvlText w:val="o"/>
      <w:lvlJc w:val="left"/>
      <w:pPr>
        <w:ind w:left="6108" w:hanging="360"/>
      </w:pPr>
      <w:rPr>
        <w:rFonts w:ascii="Courier New" w:hAnsi="Courier New" w:cs="Courier New" w:hint="default"/>
      </w:rPr>
    </w:lvl>
    <w:lvl w:ilvl="8" w:tplc="340A0005" w:tentative="1">
      <w:start w:val="1"/>
      <w:numFmt w:val="bullet"/>
      <w:lvlText w:val=""/>
      <w:lvlJc w:val="left"/>
      <w:pPr>
        <w:ind w:left="6828" w:hanging="360"/>
      </w:pPr>
      <w:rPr>
        <w:rFonts w:ascii="Wingdings" w:hAnsi="Wingdings" w:hint="default"/>
      </w:rPr>
    </w:lvl>
  </w:abstractNum>
  <w:abstractNum w:abstractNumId="11" w15:restartNumberingAfterBreak="0">
    <w:nsid w:val="50772922"/>
    <w:multiLevelType w:val="hybridMultilevel"/>
    <w:tmpl w:val="88C6BF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2" w15:restartNumberingAfterBreak="0">
    <w:nsid w:val="546C7A92"/>
    <w:multiLevelType w:val="hybridMultilevel"/>
    <w:tmpl w:val="15CA6102"/>
    <w:lvl w:ilvl="0" w:tplc="04F6D1FE">
      <w:start w:val="5"/>
      <w:numFmt w:val="bullet"/>
      <w:lvlText w:val="-"/>
      <w:lvlJc w:val="left"/>
      <w:pPr>
        <w:ind w:left="1068"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3" w15:restartNumberingAfterBreak="0">
    <w:nsid w:val="568F7C60"/>
    <w:multiLevelType w:val="hybridMultilevel"/>
    <w:tmpl w:val="C09C9224"/>
    <w:lvl w:ilvl="0" w:tplc="3A7AE88C">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4" w15:restartNumberingAfterBreak="0">
    <w:nsid w:val="5CB43A6D"/>
    <w:multiLevelType w:val="hybridMultilevel"/>
    <w:tmpl w:val="5156A168"/>
    <w:lvl w:ilvl="0" w:tplc="A076385C">
      <w:start w:val="1"/>
      <w:numFmt w:val="bullet"/>
      <w:lvlText w:val="•"/>
      <w:lvlJc w:val="left"/>
      <w:pPr>
        <w:tabs>
          <w:tab w:val="num" w:pos="720"/>
        </w:tabs>
        <w:ind w:left="720" w:hanging="360"/>
      </w:pPr>
      <w:rPr>
        <w:rFonts w:ascii="Arial" w:hAnsi="Arial" w:hint="default"/>
      </w:rPr>
    </w:lvl>
    <w:lvl w:ilvl="1" w:tplc="A8041738">
      <w:start w:val="1"/>
      <w:numFmt w:val="bullet"/>
      <w:lvlText w:val="•"/>
      <w:lvlJc w:val="left"/>
      <w:pPr>
        <w:tabs>
          <w:tab w:val="num" w:pos="1440"/>
        </w:tabs>
        <w:ind w:left="1440" w:hanging="360"/>
      </w:pPr>
      <w:rPr>
        <w:rFonts w:ascii="Arial" w:hAnsi="Arial" w:hint="default"/>
      </w:rPr>
    </w:lvl>
    <w:lvl w:ilvl="2" w:tplc="423A3774" w:tentative="1">
      <w:start w:val="1"/>
      <w:numFmt w:val="bullet"/>
      <w:lvlText w:val="•"/>
      <w:lvlJc w:val="left"/>
      <w:pPr>
        <w:tabs>
          <w:tab w:val="num" w:pos="2160"/>
        </w:tabs>
        <w:ind w:left="2160" w:hanging="360"/>
      </w:pPr>
      <w:rPr>
        <w:rFonts w:ascii="Arial" w:hAnsi="Arial" w:hint="default"/>
      </w:rPr>
    </w:lvl>
    <w:lvl w:ilvl="3" w:tplc="E6DAB94C" w:tentative="1">
      <w:start w:val="1"/>
      <w:numFmt w:val="bullet"/>
      <w:lvlText w:val="•"/>
      <w:lvlJc w:val="left"/>
      <w:pPr>
        <w:tabs>
          <w:tab w:val="num" w:pos="2880"/>
        </w:tabs>
        <w:ind w:left="2880" w:hanging="360"/>
      </w:pPr>
      <w:rPr>
        <w:rFonts w:ascii="Arial" w:hAnsi="Arial" w:hint="default"/>
      </w:rPr>
    </w:lvl>
    <w:lvl w:ilvl="4" w:tplc="492A5B2C" w:tentative="1">
      <w:start w:val="1"/>
      <w:numFmt w:val="bullet"/>
      <w:lvlText w:val="•"/>
      <w:lvlJc w:val="left"/>
      <w:pPr>
        <w:tabs>
          <w:tab w:val="num" w:pos="3600"/>
        </w:tabs>
        <w:ind w:left="3600" w:hanging="360"/>
      </w:pPr>
      <w:rPr>
        <w:rFonts w:ascii="Arial" w:hAnsi="Arial" w:hint="default"/>
      </w:rPr>
    </w:lvl>
    <w:lvl w:ilvl="5" w:tplc="FFF020BC" w:tentative="1">
      <w:start w:val="1"/>
      <w:numFmt w:val="bullet"/>
      <w:lvlText w:val="•"/>
      <w:lvlJc w:val="left"/>
      <w:pPr>
        <w:tabs>
          <w:tab w:val="num" w:pos="4320"/>
        </w:tabs>
        <w:ind w:left="4320" w:hanging="360"/>
      </w:pPr>
      <w:rPr>
        <w:rFonts w:ascii="Arial" w:hAnsi="Arial" w:hint="default"/>
      </w:rPr>
    </w:lvl>
    <w:lvl w:ilvl="6" w:tplc="4686FC66" w:tentative="1">
      <w:start w:val="1"/>
      <w:numFmt w:val="bullet"/>
      <w:lvlText w:val="•"/>
      <w:lvlJc w:val="left"/>
      <w:pPr>
        <w:tabs>
          <w:tab w:val="num" w:pos="5040"/>
        </w:tabs>
        <w:ind w:left="5040" w:hanging="360"/>
      </w:pPr>
      <w:rPr>
        <w:rFonts w:ascii="Arial" w:hAnsi="Arial" w:hint="default"/>
      </w:rPr>
    </w:lvl>
    <w:lvl w:ilvl="7" w:tplc="9DE01930" w:tentative="1">
      <w:start w:val="1"/>
      <w:numFmt w:val="bullet"/>
      <w:lvlText w:val="•"/>
      <w:lvlJc w:val="left"/>
      <w:pPr>
        <w:tabs>
          <w:tab w:val="num" w:pos="5760"/>
        </w:tabs>
        <w:ind w:left="5760" w:hanging="360"/>
      </w:pPr>
      <w:rPr>
        <w:rFonts w:ascii="Arial" w:hAnsi="Arial" w:hint="default"/>
      </w:rPr>
    </w:lvl>
    <w:lvl w:ilvl="8" w:tplc="CBF657C8"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B0327E7"/>
    <w:multiLevelType w:val="hybridMultilevel"/>
    <w:tmpl w:val="F274E2D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13684846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631598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09680463">
    <w:abstractNumId w:val="9"/>
  </w:num>
  <w:num w:numId="4" w16cid:durableId="66921351">
    <w:abstractNumId w:val="14"/>
  </w:num>
  <w:num w:numId="5" w16cid:durableId="312220242">
    <w:abstractNumId w:val="15"/>
  </w:num>
  <w:num w:numId="6" w16cid:durableId="2020769329">
    <w:abstractNumId w:val="2"/>
  </w:num>
  <w:num w:numId="7" w16cid:durableId="550460282">
    <w:abstractNumId w:val="0"/>
  </w:num>
  <w:num w:numId="8" w16cid:durableId="129328326">
    <w:abstractNumId w:val="1"/>
  </w:num>
  <w:num w:numId="9" w16cid:durableId="384136325">
    <w:abstractNumId w:val="11"/>
  </w:num>
  <w:num w:numId="10" w16cid:durableId="1587416855">
    <w:abstractNumId w:val="13"/>
  </w:num>
  <w:num w:numId="11" w16cid:durableId="258177728">
    <w:abstractNumId w:val="10"/>
  </w:num>
  <w:num w:numId="12" w16cid:durableId="1345012173">
    <w:abstractNumId w:val="8"/>
  </w:num>
  <w:num w:numId="13" w16cid:durableId="1620722375">
    <w:abstractNumId w:val="5"/>
  </w:num>
  <w:num w:numId="14" w16cid:durableId="1693454460">
    <w:abstractNumId w:val="3"/>
  </w:num>
  <w:num w:numId="15" w16cid:durableId="474837703">
    <w:abstractNumId w:val="6"/>
  </w:num>
  <w:num w:numId="16" w16cid:durableId="9031714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9B7"/>
    <w:rsid w:val="000337C9"/>
    <w:rsid w:val="00386D41"/>
    <w:rsid w:val="00387501"/>
    <w:rsid w:val="004273D6"/>
    <w:rsid w:val="00462061"/>
    <w:rsid w:val="004A4B12"/>
    <w:rsid w:val="005746EF"/>
    <w:rsid w:val="005964ED"/>
    <w:rsid w:val="00621B8E"/>
    <w:rsid w:val="006679C7"/>
    <w:rsid w:val="00676004"/>
    <w:rsid w:val="007E3251"/>
    <w:rsid w:val="00824034"/>
    <w:rsid w:val="0086335C"/>
    <w:rsid w:val="008D1263"/>
    <w:rsid w:val="00900ADE"/>
    <w:rsid w:val="009135AA"/>
    <w:rsid w:val="00A72F1F"/>
    <w:rsid w:val="00AA2EFF"/>
    <w:rsid w:val="00B03C82"/>
    <w:rsid w:val="00B2399C"/>
    <w:rsid w:val="00B55C66"/>
    <w:rsid w:val="00B701FD"/>
    <w:rsid w:val="00C01F86"/>
    <w:rsid w:val="00C57A35"/>
    <w:rsid w:val="00C82224"/>
    <w:rsid w:val="00E17AE4"/>
    <w:rsid w:val="00E80CE1"/>
    <w:rsid w:val="00E84F43"/>
    <w:rsid w:val="00E9300C"/>
    <w:rsid w:val="00ED1ABF"/>
    <w:rsid w:val="00EF49B7"/>
    <w:rsid w:val="00F1003C"/>
    <w:rsid w:val="00F30566"/>
    <w:rsid w:val="00F42E7E"/>
    <w:rsid w:val="00F6034E"/>
    <w:rsid w:val="00F73C6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10F19"/>
  <w15:chartTrackingRefBased/>
  <w15:docId w15:val="{19671EF7-496A-4586-824E-471EA119A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003C"/>
    <w:pPr>
      <w:spacing w:after="0" w:line="240" w:lineRule="auto"/>
    </w:pPr>
    <w:rPr>
      <w:rFonts w:ascii="Calibri" w:hAnsi="Calibri" w:cs="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F1003C"/>
    <w:rPr>
      <w:color w:val="0563C1" w:themeColor="hyperlink"/>
      <w:u w:val="single"/>
    </w:rPr>
  </w:style>
  <w:style w:type="character" w:styleId="Mencinsinresolver">
    <w:name w:val="Unresolved Mention"/>
    <w:basedOn w:val="Fuentedeprrafopredeter"/>
    <w:uiPriority w:val="99"/>
    <w:semiHidden/>
    <w:unhideWhenUsed/>
    <w:rsid w:val="00F1003C"/>
    <w:rPr>
      <w:color w:val="605E5C"/>
      <w:shd w:val="clear" w:color="auto" w:fill="E1DFDD"/>
    </w:rPr>
  </w:style>
  <w:style w:type="paragraph" w:styleId="Prrafodelista">
    <w:name w:val="List Paragraph"/>
    <w:basedOn w:val="Normal"/>
    <w:uiPriority w:val="34"/>
    <w:qFormat/>
    <w:rsid w:val="00F1003C"/>
    <w:pPr>
      <w:spacing w:before="100" w:beforeAutospacing="1" w:after="100" w:afterAutospacing="1"/>
    </w:pPr>
    <w:rPr>
      <w:lang w:eastAsia="es-CL"/>
    </w:rPr>
  </w:style>
  <w:style w:type="character" w:customStyle="1" w:styleId="apple-converted-space">
    <w:name w:val="apple-converted-space"/>
    <w:basedOn w:val="Fuentedeprrafopredeter"/>
    <w:rsid w:val="00F1003C"/>
  </w:style>
  <w:style w:type="paragraph" w:customStyle="1" w:styleId="kb-icon-list-style-default">
    <w:name w:val="kb-icon-list-style-default"/>
    <w:basedOn w:val="Normal"/>
    <w:rsid w:val="00F73C6D"/>
    <w:pPr>
      <w:spacing w:before="100" w:beforeAutospacing="1" w:after="100" w:afterAutospacing="1"/>
    </w:pPr>
    <w:rPr>
      <w:rFonts w:ascii="Times New Roman" w:eastAsia="Times New Roman" w:hAnsi="Times New Roman" w:cs="Times New Roman"/>
      <w:sz w:val="24"/>
      <w:szCs w:val="24"/>
      <w:lang w:eastAsia="es-CL"/>
    </w:rPr>
  </w:style>
  <w:style w:type="character" w:customStyle="1" w:styleId="kb-icon-list-text">
    <w:name w:val="kb-icon-list-text"/>
    <w:basedOn w:val="Fuentedeprrafopredeter"/>
    <w:rsid w:val="00F73C6D"/>
  </w:style>
  <w:style w:type="character" w:styleId="Textoennegrita">
    <w:name w:val="Strong"/>
    <w:basedOn w:val="Fuentedeprrafopredeter"/>
    <w:uiPriority w:val="22"/>
    <w:qFormat/>
    <w:rsid w:val="00F73C6D"/>
    <w:rPr>
      <w:b/>
      <w:bCs/>
    </w:rPr>
  </w:style>
  <w:style w:type="paragraph" w:styleId="NormalWeb">
    <w:name w:val="Normal (Web)"/>
    <w:basedOn w:val="Normal"/>
    <w:uiPriority w:val="99"/>
    <w:semiHidden/>
    <w:unhideWhenUsed/>
    <w:rsid w:val="009135AA"/>
    <w:pPr>
      <w:spacing w:before="100" w:beforeAutospacing="1" w:after="100" w:afterAutospacing="1"/>
    </w:pPr>
    <w:rPr>
      <w:rFonts w:ascii="Times New Roman" w:eastAsia="Times New Roman" w:hAnsi="Times New Roman" w:cs="Times New Roman"/>
      <w:sz w:val="24"/>
      <w:szCs w:val="24"/>
      <w:lang w:eastAsia="es-CL"/>
    </w:rPr>
  </w:style>
  <w:style w:type="paragraph" w:styleId="Textonotapie">
    <w:name w:val="footnote text"/>
    <w:basedOn w:val="Normal"/>
    <w:link w:val="TextonotapieCar"/>
    <w:uiPriority w:val="99"/>
    <w:semiHidden/>
    <w:unhideWhenUsed/>
    <w:rsid w:val="00B03C82"/>
    <w:rPr>
      <w:rFonts w:asciiTheme="minorHAnsi" w:eastAsiaTheme="minorEastAsia" w:hAnsiTheme="minorHAnsi" w:cstheme="minorBidi"/>
      <w:sz w:val="20"/>
      <w:szCs w:val="20"/>
      <w:lang w:eastAsia="zh-CN"/>
    </w:rPr>
  </w:style>
  <w:style w:type="character" w:customStyle="1" w:styleId="TextonotapieCar">
    <w:name w:val="Texto nota pie Car"/>
    <w:basedOn w:val="Fuentedeprrafopredeter"/>
    <w:link w:val="Textonotapie"/>
    <w:uiPriority w:val="99"/>
    <w:semiHidden/>
    <w:rsid w:val="00B03C82"/>
    <w:rPr>
      <w:rFonts w:eastAsiaTheme="minorEastAsia"/>
      <w:sz w:val="20"/>
      <w:szCs w:val="20"/>
      <w:lang w:eastAsia="zh-CN"/>
    </w:rPr>
  </w:style>
  <w:style w:type="character" w:styleId="Refdenotaalpie">
    <w:name w:val="footnote reference"/>
    <w:basedOn w:val="Fuentedeprrafopredeter"/>
    <w:uiPriority w:val="99"/>
    <w:semiHidden/>
    <w:unhideWhenUsed/>
    <w:rsid w:val="00B03C8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800011">
      <w:bodyDiv w:val="1"/>
      <w:marLeft w:val="0"/>
      <w:marRight w:val="0"/>
      <w:marTop w:val="0"/>
      <w:marBottom w:val="0"/>
      <w:divBdr>
        <w:top w:val="none" w:sz="0" w:space="0" w:color="auto"/>
        <w:left w:val="none" w:sz="0" w:space="0" w:color="auto"/>
        <w:bottom w:val="none" w:sz="0" w:space="0" w:color="auto"/>
        <w:right w:val="none" w:sz="0" w:space="0" w:color="auto"/>
      </w:divBdr>
    </w:div>
    <w:div w:id="147407750">
      <w:bodyDiv w:val="1"/>
      <w:marLeft w:val="0"/>
      <w:marRight w:val="0"/>
      <w:marTop w:val="0"/>
      <w:marBottom w:val="0"/>
      <w:divBdr>
        <w:top w:val="none" w:sz="0" w:space="0" w:color="auto"/>
        <w:left w:val="none" w:sz="0" w:space="0" w:color="auto"/>
        <w:bottom w:val="none" w:sz="0" w:space="0" w:color="auto"/>
        <w:right w:val="none" w:sz="0" w:space="0" w:color="auto"/>
      </w:divBdr>
    </w:div>
    <w:div w:id="257296907">
      <w:bodyDiv w:val="1"/>
      <w:marLeft w:val="0"/>
      <w:marRight w:val="0"/>
      <w:marTop w:val="0"/>
      <w:marBottom w:val="0"/>
      <w:divBdr>
        <w:top w:val="none" w:sz="0" w:space="0" w:color="auto"/>
        <w:left w:val="none" w:sz="0" w:space="0" w:color="auto"/>
        <w:bottom w:val="none" w:sz="0" w:space="0" w:color="auto"/>
        <w:right w:val="none" w:sz="0" w:space="0" w:color="auto"/>
      </w:divBdr>
      <w:divsChild>
        <w:div w:id="1863590651">
          <w:marLeft w:val="1022"/>
          <w:marRight w:val="0"/>
          <w:marTop w:val="100"/>
          <w:marBottom w:val="0"/>
          <w:divBdr>
            <w:top w:val="none" w:sz="0" w:space="0" w:color="auto"/>
            <w:left w:val="none" w:sz="0" w:space="0" w:color="auto"/>
            <w:bottom w:val="none" w:sz="0" w:space="0" w:color="auto"/>
            <w:right w:val="none" w:sz="0" w:space="0" w:color="auto"/>
          </w:divBdr>
        </w:div>
      </w:divsChild>
    </w:div>
    <w:div w:id="575163854">
      <w:bodyDiv w:val="1"/>
      <w:marLeft w:val="0"/>
      <w:marRight w:val="0"/>
      <w:marTop w:val="0"/>
      <w:marBottom w:val="0"/>
      <w:divBdr>
        <w:top w:val="none" w:sz="0" w:space="0" w:color="auto"/>
        <w:left w:val="none" w:sz="0" w:space="0" w:color="auto"/>
        <w:bottom w:val="none" w:sz="0" w:space="0" w:color="auto"/>
        <w:right w:val="none" w:sz="0" w:space="0" w:color="auto"/>
      </w:divBdr>
    </w:div>
    <w:div w:id="836576008">
      <w:bodyDiv w:val="1"/>
      <w:marLeft w:val="0"/>
      <w:marRight w:val="0"/>
      <w:marTop w:val="0"/>
      <w:marBottom w:val="0"/>
      <w:divBdr>
        <w:top w:val="none" w:sz="0" w:space="0" w:color="auto"/>
        <w:left w:val="none" w:sz="0" w:space="0" w:color="auto"/>
        <w:bottom w:val="none" w:sz="0" w:space="0" w:color="auto"/>
        <w:right w:val="none" w:sz="0" w:space="0" w:color="auto"/>
      </w:divBdr>
    </w:div>
    <w:div w:id="1086265798">
      <w:bodyDiv w:val="1"/>
      <w:marLeft w:val="0"/>
      <w:marRight w:val="0"/>
      <w:marTop w:val="0"/>
      <w:marBottom w:val="0"/>
      <w:divBdr>
        <w:top w:val="none" w:sz="0" w:space="0" w:color="auto"/>
        <w:left w:val="none" w:sz="0" w:space="0" w:color="auto"/>
        <w:bottom w:val="none" w:sz="0" w:space="0" w:color="auto"/>
        <w:right w:val="none" w:sz="0" w:space="0" w:color="auto"/>
      </w:divBdr>
    </w:div>
    <w:div w:id="1141926029">
      <w:bodyDiv w:val="1"/>
      <w:marLeft w:val="0"/>
      <w:marRight w:val="0"/>
      <w:marTop w:val="0"/>
      <w:marBottom w:val="0"/>
      <w:divBdr>
        <w:top w:val="none" w:sz="0" w:space="0" w:color="auto"/>
        <w:left w:val="none" w:sz="0" w:space="0" w:color="auto"/>
        <w:bottom w:val="none" w:sz="0" w:space="0" w:color="auto"/>
        <w:right w:val="none" w:sz="0" w:space="0" w:color="auto"/>
      </w:divBdr>
    </w:div>
    <w:div w:id="1341128906">
      <w:bodyDiv w:val="1"/>
      <w:marLeft w:val="0"/>
      <w:marRight w:val="0"/>
      <w:marTop w:val="0"/>
      <w:marBottom w:val="0"/>
      <w:divBdr>
        <w:top w:val="none" w:sz="0" w:space="0" w:color="auto"/>
        <w:left w:val="none" w:sz="0" w:space="0" w:color="auto"/>
        <w:bottom w:val="none" w:sz="0" w:space="0" w:color="auto"/>
        <w:right w:val="none" w:sz="0" w:space="0" w:color="auto"/>
      </w:divBdr>
    </w:div>
    <w:div w:id="1393962160">
      <w:bodyDiv w:val="1"/>
      <w:marLeft w:val="0"/>
      <w:marRight w:val="0"/>
      <w:marTop w:val="0"/>
      <w:marBottom w:val="0"/>
      <w:divBdr>
        <w:top w:val="none" w:sz="0" w:space="0" w:color="auto"/>
        <w:left w:val="none" w:sz="0" w:space="0" w:color="auto"/>
        <w:bottom w:val="none" w:sz="0" w:space="0" w:color="auto"/>
        <w:right w:val="none" w:sz="0" w:space="0" w:color="auto"/>
      </w:divBdr>
      <w:divsChild>
        <w:div w:id="220792906">
          <w:marLeft w:val="1022"/>
          <w:marRight w:val="0"/>
          <w:marTop w:val="100"/>
          <w:marBottom w:val="0"/>
          <w:divBdr>
            <w:top w:val="none" w:sz="0" w:space="0" w:color="auto"/>
            <w:left w:val="none" w:sz="0" w:space="0" w:color="auto"/>
            <w:bottom w:val="none" w:sz="0" w:space="0" w:color="auto"/>
            <w:right w:val="none" w:sz="0" w:space="0" w:color="auto"/>
          </w:divBdr>
        </w:div>
        <w:div w:id="1196776630">
          <w:marLeft w:val="1022"/>
          <w:marRight w:val="0"/>
          <w:marTop w:val="100"/>
          <w:marBottom w:val="0"/>
          <w:divBdr>
            <w:top w:val="none" w:sz="0" w:space="0" w:color="auto"/>
            <w:left w:val="none" w:sz="0" w:space="0" w:color="auto"/>
            <w:bottom w:val="none" w:sz="0" w:space="0" w:color="auto"/>
            <w:right w:val="none" w:sz="0" w:space="0" w:color="auto"/>
          </w:divBdr>
        </w:div>
      </w:divsChild>
    </w:div>
    <w:div w:id="1600989696">
      <w:bodyDiv w:val="1"/>
      <w:marLeft w:val="0"/>
      <w:marRight w:val="0"/>
      <w:marTop w:val="0"/>
      <w:marBottom w:val="0"/>
      <w:divBdr>
        <w:top w:val="none" w:sz="0" w:space="0" w:color="auto"/>
        <w:left w:val="none" w:sz="0" w:space="0" w:color="auto"/>
        <w:bottom w:val="none" w:sz="0" w:space="0" w:color="auto"/>
        <w:right w:val="none" w:sz="0" w:space="0" w:color="auto"/>
      </w:divBdr>
      <w:divsChild>
        <w:div w:id="1084838046">
          <w:marLeft w:val="1022"/>
          <w:marRight w:val="0"/>
          <w:marTop w:val="100"/>
          <w:marBottom w:val="0"/>
          <w:divBdr>
            <w:top w:val="none" w:sz="0" w:space="0" w:color="auto"/>
            <w:left w:val="none" w:sz="0" w:space="0" w:color="auto"/>
            <w:bottom w:val="none" w:sz="0" w:space="0" w:color="auto"/>
            <w:right w:val="none" w:sz="0" w:space="0" w:color="auto"/>
          </w:divBdr>
        </w:div>
      </w:divsChild>
    </w:div>
    <w:div w:id="1897427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nicolas.gagliardi@aiep.c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412</TotalTime>
  <Pages>6</Pages>
  <Words>2483</Words>
  <Characters>13658</Characters>
  <Application>Microsoft Office Word</Application>
  <DocSecurity>0</DocSecurity>
  <Lines>113</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Javier Nicolas Garcia Gonzalez</dc:creator>
  <cp:keywords/>
  <dc:description/>
  <cp:lastModifiedBy>Javier Nicolas Garcia Gonzalez</cp:lastModifiedBy>
  <cp:revision>17</cp:revision>
  <dcterms:created xsi:type="dcterms:W3CDTF">2022-12-26T15:17:00Z</dcterms:created>
  <dcterms:modified xsi:type="dcterms:W3CDTF">2022-12-26T22:34:00Z</dcterms:modified>
</cp:coreProperties>
</file>